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BC61" w14:textId="77777777" w:rsidR="00524EFB" w:rsidRPr="00AE1189" w:rsidRDefault="00524EFB" w:rsidP="00AE1189">
      <w:pPr>
        <w:shd w:val="clear" w:color="auto" w:fill="FFFFFF"/>
        <w:tabs>
          <w:tab w:val="left" w:pos="5700"/>
        </w:tabs>
        <w:spacing w:after="0" w:line="240" w:lineRule="auto"/>
        <w:ind w:right="-1134"/>
        <w:jc w:val="center"/>
        <w:rPr>
          <w:rFonts w:ascii="Times New Roman" w:eastAsia="Times New Roman" w:hAnsi="Times New Roman" w:cs="Times New Roman"/>
          <w:b/>
        </w:rPr>
      </w:pPr>
    </w:p>
    <w:p w14:paraId="6AE79BE5" w14:textId="2F72ED0D" w:rsidR="00524EFB" w:rsidRPr="00AE1189" w:rsidRDefault="00C77B0B" w:rsidP="00AE1189">
      <w:pPr>
        <w:shd w:val="clear" w:color="auto" w:fill="FFFFFF"/>
        <w:tabs>
          <w:tab w:val="left" w:pos="5700"/>
        </w:tabs>
        <w:spacing w:after="0" w:line="240" w:lineRule="auto"/>
        <w:ind w:right="-1134"/>
        <w:jc w:val="center"/>
        <w:rPr>
          <w:rFonts w:ascii="Times New Roman" w:eastAsia="Times New Roman" w:hAnsi="Times New Roman" w:cs="Times New Roman"/>
        </w:rPr>
      </w:pPr>
      <w:r w:rsidRPr="00AE1189">
        <w:rPr>
          <w:rFonts w:ascii="Times New Roman" w:eastAsia="Times New Roman" w:hAnsi="Times New Roman" w:cs="Times New Roman"/>
          <w:b/>
        </w:rPr>
        <w:t>ПРОПОЗИЦІ</w:t>
      </w:r>
      <w:r w:rsidR="004F5CB1">
        <w:rPr>
          <w:rFonts w:ascii="Times New Roman" w:eastAsia="Times New Roman" w:hAnsi="Times New Roman" w:cs="Times New Roman"/>
          <w:b/>
        </w:rPr>
        <w:t>Й</w:t>
      </w:r>
      <w:r w:rsidRPr="00AE1189">
        <w:rPr>
          <w:rFonts w:ascii="Times New Roman" w:eastAsia="Times New Roman" w:hAnsi="Times New Roman" w:cs="Times New Roman"/>
          <w:b/>
        </w:rPr>
        <w:t xml:space="preserve"> ПАЕУ ДО ПОРІВНЯЛЬНОЇ ТАБЛИЦІ</w:t>
      </w:r>
    </w:p>
    <w:p w14:paraId="5254850B" w14:textId="014AE197" w:rsidR="00524EFB" w:rsidRPr="00AE1189" w:rsidRDefault="000668F8" w:rsidP="00AE1189">
      <w:pPr>
        <w:spacing w:after="0" w:line="240" w:lineRule="auto"/>
        <w:ind w:right="-1134"/>
        <w:jc w:val="center"/>
        <w:rPr>
          <w:rFonts w:ascii="Times New Roman" w:eastAsia="Times New Roman" w:hAnsi="Times New Roman" w:cs="Times New Roman"/>
          <w:b/>
        </w:rPr>
      </w:pPr>
      <w:r>
        <w:rPr>
          <w:rFonts w:ascii="Times New Roman" w:eastAsia="Times New Roman" w:hAnsi="Times New Roman" w:cs="Times New Roman"/>
          <w:b/>
        </w:rPr>
        <w:t xml:space="preserve">доопрацьованого </w:t>
      </w:r>
      <w:r w:rsidR="00C77B0B" w:rsidRPr="00AE1189">
        <w:rPr>
          <w:rFonts w:ascii="Times New Roman" w:eastAsia="Times New Roman" w:hAnsi="Times New Roman" w:cs="Times New Roman"/>
          <w:b/>
        </w:rPr>
        <w:t>Проєкту Закону України «Про зміни до Закону України «Про оцінку впливу на довкілля»»</w:t>
      </w:r>
    </w:p>
    <w:p w14:paraId="0F80E3B8" w14:textId="77777777" w:rsidR="00524EFB" w:rsidRPr="00AE1189" w:rsidRDefault="00524EFB" w:rsidP="00AE1189">
      <w:pPr>
        <w:spacing w:after="0" w:line="240" w:lineRule="auto"/>
        <w:ind w:right="-1134"/>
        <w:jc w:val="center"/>
        <w:rPr>
          <w:rFonts w:ascii="Times New Roman" w:eastAsia="Times New Roman" w:hAnsi="Times New Roman" w:cs="Times New Roman"/>
          <w:b/>
        </w:rPr>
      </w:pPr>
    </w:p>
    <w:tbl>
      <w:tblPr>
        <w:tblStyle w:val="a5"/>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678"/>
        <w:gridCol w:w="4961"/>
        <w:gridCol w:w="4961"/>
      </w:tblGrid>
      <w:tr w:rsidR="00162947" w:rsidRPr="00AE1189" w14:paraId="2E5972E1" w14:textId="08908C8E" w:rsidTr="00162947">
        <w:trPr>
          <w:trHeight w:val="747"/>
          <w:tblHeader/>
        </w:trPr>
        <w:tc>
          <w:tcPr>
            <w:tcW w:w="704" w:type="dxa"/>
            <w:shd w:val="clear" w:color="auto" w:fill="EAF1DD" w:themeFill="accent3" w:themeFillTint="33"/>
            <w:vAlign w:val="center"/>
          </w:tcPr>
          <w:p w14:paraId="4AA13E82" w14:textId="65C71C7B" w:rsidR="00162947" w:rsidRPr="00AE1189" w:rsidRDefault="00162947"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 з/п</w:t>
            </w:r>
          </w:p>
        </w:tc>
        <w:tc>
          <w:tcPr>
            <w:tcW w:w="4678" w:type="dxa"/>
            <w:shd w:val="clear" w:color="auto" w:fill="EAF1DD" w:themeFill="accent3" w:themeFillTint="33"/>
            <w:vAlign w:val="center"/>
          </w:tcPr>
          <w:p w14:paraId="2720BF59" w14:textId="5F368BE2" w:rsidR="00162947" w:rsidRPr="00AE1189" w:rsidRDefault="00162947"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 xml:space="preserve">Зміст положення (норми) запропонованого проекту </w:t>
            </w:r>
            <w:proofErr w:type="spellStart"/>
            <w:r w:rsidRPr="00AE1189">
              <w:rPr>
                <w:rFonts w:ascii="Times New Roman" w:eastAsia="Times New Roman" w:hAnsi="Times New Roman" w:cs="Times New Roman"/>
                <w:b/>
                <w:bCs/>
              </w:rPr>
              <w:t>акта</w:t>
            </w:r>
            <w:proofErr w:type="spellEnd"/>
          </w:p>
        </w:tc>
        <w:tc>
          <w:tcPr>
            <w:tcW w:w="4961" w:type="dxa"/>
            <w:shd w:val="clear" w:color="auto" w:fill="EAF1DD" w:themeFill="accent3" w:themeFillTint="33"/>
            <w:vAlign w:val="center"/>
          </w:tcPr>
          <w:p w14:paraId="2910EDBB" w14:textId="522C94A2" w:rsidR="00162947" w:rsidRPr="00AE1189" w:rsidRDefault="00162947"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Зміст положення (норми) запропонованого ПАЕУ</w:t>
            </w:r>
          </w:p>
        </w:tc>
        <w:tc>
          <w:tcPr>
            <w:tcW w:w="4961" w:type="dxa"/>
            <w:shd w:val="clear" w:color="auto" w:fill="EAF1DD" w:themeFill="accent3" w:themeFillTint="33"/>
            <w:vAlign w:val="center"/>
          </w:tcPr>
          <w:p w14:paraId="2C6CD424" w14:textId="31B551A3" w:rsidR="00162947" w:rsidRPr="00AE1189" w:rsidRDefault="00162947"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Обґрунтування</w:t>
            </w:r>
          </w:p>
        </w:tc>
      </w:tr>
      <w:tr w:rsidR="00162947" w:rsidRPr="00AE1189" w14:paraId="3736950F" w14:textId="77777777" w:rsidTr="00162947">
        <w:trPr>
          <w:trHeight w:val="852"/>
        </w:trPr>
        <w:tc>
          <w:tcPr>
            <w:tcW w:w="704" w:type="dxa"/>
            <w:vAlign w:val="center"/>
          </w:tcPr>
          <w:p w14:paraId="288F640E" w14:textId="2241D765" w:rsidR="00162947" w:rsidRPr="00AE1189" w:rsidRDefault="00162947" w:rsidP="00A5131A">
            <w:pPr>
              <w:jc w:val="center"/>
              <w:rPr>
                <w:rFonts w:ascii="Times New Roman" w:eastAsia="Times New Roman" w:hAnsi="Times New Roman" w:cs="Times New Roman"/>
              </w:rPr>
            </w:pPr>
            <w:r>
              <w:rPr>
                <w:rFonts w:ascii="Times New Roman" w:eastAsia="Times New Roman" w:hAnsi="Times New Roman" w:cs="Times New Roman"/>
              </w:rPr>
              <w:t>1</w:t>
            </w:r>
          </w:p>
        </w:tc>
        <w:tc>
          <w:tcPr>
            <w:tcW w:w="4678" w:type="dxa"/>
          </w:tcPr>
          <w:p w14:paraId="10703877" w14:textId="26E7E02A"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t>Стаття 2. Зміст і суб’єкти оцінки впливу на довкілля</w:t>
            </w:r>
          </w:p>
          <w:p w14:paraId="3C32DBB0" w14:textId="77777777" w:rsidR="00162947" w:rsidRPr="00AE1189" w:rsidRDefault="00162947" w:rsidP="00A5131A">
            <w:pPr>
              <w:jc w:val="both"/>
              <w:rPr>
                <w:rFonts w:ascii="Times New Roman" w:eastAsia="Times New Roman" w:hAnsi="Times New Roman" w:cs="Times New Roman"/>
              </w:rPr>
            </w:pPr>
          </w:p>
          <w:p w14:paraId="0622BA18" w14:textId="77777777"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t>1. Оцінка впливу на довкілля - це процедура, що передбачає:</w:t>
            </w:r>
          </w:p>
          <w:p w14:paraId="7D49E54F" w14:textId="77777777"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t>…</w:t>
            </w:r>
          </w:p>
          <w:p w14:paraId="47AAD839" w14:textId="335CA8A8" w:rsidR="00162947" w:rsidRPr="00AE1189" w:rsidRDefault="00162947" w:rsidP="00A5131A">
            <w:pPr>
              <w:shd w:val="clear" w:color="auto" w:fill="FFFFFF"/>
              <w:jc w:val="both"/>
              <w:rPr>
                <w:rFonts w:ascii="Times New Roman" w:eastAsia="Times New Roman" w:hAnsi="Times New Roman" w:cs="Times New Roman"/>
                <w:b/>
              </w:rPr>
            </w:pPr>
            <w:r w:rsidRPr="00162947">
              <w:rPr>
                <w:rFonts w:ascii="Times New Roman" w:eastAsia="Times New Roman" w:hAnsi="Times New Roman" w:cs="Times New Roman"/>
                <w:b/>
              </w:rPr>
              <w:t>6) Під час здійснення оцінки впливу на довкілля, уповноважений територіальний орган, а у випадках, визначених частинами третьою і четвертою статті 5 цього Закону, - уповноважений центральний орган проводить консультації з метою отримання зауважень та пропозицій щодо оцінки впливу планованої діяльності на довкілля з іншими органами виконавчої влади та органами місцевого самоврядування відповідно до їх компетенції з питань, що стосуються довкілля. Порядок проведення консультацій з органами виконавчої влади та органами місцевого самоврядування в процедурі оцінки впливу на довкілля встановлюється центральним органом виконавчої влади, що забезпечує формування державної політики у сфері охорони навколишнього природного середовища. Такі консультації проводяться у письмовій та / або електронній    формі    протягом    строку    громадського</w:t>
            </w:r>
            <w:r>
              <w:rPr>
                <w:rFonts w:ascii="Times New Roman" w:eastAsia="Times New Roman" w:hAnsi="Times New Roman" w:cs="Times New Roman"/>
                <w:b/>
              </w:rPr>
              <w:t xml:space="preserve"> </w:t>
            </w:r>
            <w:r w:rsidRPr="00162947">
              <w:rPr>
                <w:rFonts w:ascii="Times New Roman" w:eastAsia="Times New Roman" w:hAnsi="Times New Roman" w:cs="Times New Roman"/>
                <w:b/>
              </w:rPr>
              <w:t xml:space="preserve">обговорення звіту з оцінки впливу на довкілля. У разі ненадання зауважень та пропозицій протягом визначеного строку </w:t>
            </w:r>
            <w:r w:rsidRPr="00162947">
              <w:rPr>
                <w:rFonts w:ascii="Times New Roman" w:eastAsia="Times New Roman" w:hAnsi="Times New Roman" w:cs="Times New Roman"/>
                <w:b/>
              </w:rPr>
              <w:lastRenderedPageBreak/>
              <w:t>консультацій вважається, що зауваження та пропозиції відсутні.</w:t>
            </w:r>
          </w:p>
        </w:tc>
        <w:tc>
          <w:tcPr>
            <w:tcW w:w="4961" w:type="dxa"/>
          </w:tcPr>
          <w:p w14:paraId="4B938F84" w14:textId="77777777"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lastRenderedPageBreak/>
              <w:t>Стаття 2. Зміст і суб’єкти оцінки впливу на довкілля</w:t>
            </w:r>
          </w:p>
          <w:p w14:paraId="76F58E0C" w14:textId="77777777" w:rsidR="00162947" w:rsidRPr="00AE1189" w:rsidRDefault="00162947" w:rsidP="00A5131A">
            <w:pPr>
              <w:jc w:val="both"/>
              <w:rPr>
                <w:rFonts w:ascii="Times New Roman" w:eastAsia="Times New Roman" w:hAnsi="Times New Roman" w:cs="Times New Roman"/>
              </w:rPr>
            </w:pPr>
          </w:p>
          <w:p w14:paraId="45574D0F" w14:textId="77777777"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t>1. Оцінка впливу на довкілля - це процедура, що передбачає:</w:t>
            </w:r>
          </w:p>
          <w:p w14:paraId="4134051A" w14:textId="77777777" w:rsidR="00162947" w:rsidRPr="00AE1189" w:rsidRDefault="00162947" w:rsidP="00A5131A">
            <w:pPr>
              <w:jc w:val="both"/>
              <w:rPr>
                <w:rFonts w:ascii="Times New Roman" w:eastAsia="Times New Roman" w:hAnsi="Times New Roman" w:cs="Times New Roman"/>
              </w:rPr>
            </w:pPr>
            <w:r w:rsidRPr="00AE1189">
              <w:rPr>
                <w:rFonts w:ascii="Times New Roman" w:eastAsia="Times New Roman" w:hAnsi="Times New Roman" w:cs="Times New Roman"/>
              </w:rPr>
              <w:t>…</w:t>
            </w:r>
          </w:p>
          <w:p w14:paraId="69094074" w14:textId="6F161149" w:rsidR="00162947" w:rsidRPr="00162947" w:rsidRDefault="00162947" w:rsidP="00162947">
            <w:pPr>
              <w:shd w:val="clear" w:color="auto" w:fill="FFFFFF"/>
              <w:jc w:val="both"/>
              <w:rPr>
                <w:rFonts w:ascii="Times New Roman" w:eastAsia="Times New Roman" w:hAnsi="Times New Roman" w:cs="Times New Roman"/>
                <w:b/>
              </w:rPr>
            </w:pPr>
            <w:r w:rsidRPr="00162947">
              <w:rPr>
                <w:rFonts w:ascii="Times New Roman" w:eastAsia="Times New Roman" w:hAnsi="Times New Roman" w:cs="Times New Roman"/>
                <w:b/>
              </w:rPr>
              <w:t>6) Під час здійснення оцінки впливу на довкілля, уповноважений територіальний орган, а у випадках, визначених частинами третьою і четвертою статті 5 цього Закону, - уповноважений центральний орган проводить консультації з метою отримання зауважень та пропозицій щодо оцінки впливу планованої діяльності на довкілля з іншими органами виконавчої влади та органами місцевого самоврядування відповідно до їх компетенції з питань, що стосуються довкілля. Порядок проведення консультацій з органами виконавчої влади та органами місцевого самоврядування в процедурі оцінки впливу на довкілля встановлюється центральним органом виконавчої влади, що забезпечує формування державної політики у сфері охорони навколишнього природного середовища. Такі консультації проводяться у письмовій та / або електронній    формі    протягом    строку    громадського обговорення звіту з оцінки впливу на довкілля. У разі ненадання зауважень та пропозицій протягом визначеного строку консультацій вважається, що зауваження та пропозиції відсутні.</w:t>
            </w:r>
          </w:p>
          <w:p w14:paraId="0035F0EE" w14:textId="7A820510" w:rsidR="00162947" w:rsidRPr="00AE1189" w:rsidRDefault="00162947" w:rsidP="00A5131A">
            <w:pPr>
              <w:shd w:val="clear" w:color="auto" w:fill="FFFFFF"/>
              <w:jc w:val="both"/>
              <w:rPr>
                <w:rFonts w:ascii="Times New Roman" w:eastAsia="Times New Roman" w:hAnsi="Times New Roman" w:cs="Times New Roman"/>
                <w:b/>
              </w:rPr>
            </w:pPr>
            <w:r w:rsidRPr="00162947">
              <w:rPr>
                <w:rFonts w:ascii="Times New Roman" w:eastAsia="Times New Roman" w:hAnsi="Times New Roman" w:cs="Times New Roman"/>
                <w:b/>
                <w:color w:val="FF0000"/>
              </w:rPr>
              <w:lastRenderedPageBreak/>
              <w:t xml:space="preserve">У випадку отримання зауважень та пропозицій під час консультації, уповноважений територіальний </w:t>
            </w:r>
            <w:r w:rsidRPr="00AE1189">
              <w:rPr>
                <w:rFonts w:ascii="Times New Roman" w:eastAsia="Times New Roman" w:hAnsi="Times New Roman" w:cs="Times New Roman"/>
                <w:b/>
                <w:color w:val="FF0000"/>
              </w:rPr>
              <w:t>орган, а у випадках, визначених частинами третьою і четвертою статті 5 цього Закону, - уповноважений центральний надає копію таких зауважень та пропозицій суб’єкту господарювання із застосуванням засобів електронних комунікацій не пізніше наступного робочого дня з дня їх отримання.</w:t>
            </w:r>
          </w:p>
        </w:tc>
        <w:tc>
          <w:tcPr>
            <w:tcW w:w="4961" w:type="dxa"/>
          </w:tcPr>
          <w:p w14:paraId="3068955B" w14:textId="5402669C"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lastRenderedPageBreak/>
              <w:t xml:space="preserve">З метою належної оцінки впливу на довкілля планованої діяльності, врахування пропозицій та зауважень всіх зацікавлених сторін, визначення рівня деталізації оцінки впливу на довкілля, ПАЕУ пропонує </w:t>
            </w:r>
            <w:r w:rsidRPr="00162947">
              <w:rPr>
                <w:rFonts w:ascii="Times New Roman" w:eastAsia="Times New Roman" w:hAnsi="Times New Roman" w:cs="Times New Roman"/>
                <w:b/>
              </w:rPr>
              <w:t>ознайомлювати суб’єкта господарювання з отриманими пропозиціями та зауваженнями для врахування чи обґрунтованого відхилення у звіті з оцінки впливу на довкілля.</w:t>
            </w:r>
          </w:p>
        </w:tc>
      </w:tr>
      <w:tr w:rsidR="00162947" w:rsidRPr="00AE1189" w14:paraId="170F8754" w14:textId="77777777" w:rsidTr="00162947">
        <w:trPr>
          <w:trHeight w:val="852"/>
        </w:trPr>
        <w:tc>
          <w:tcPr>
            <w:tcW w:w="704" w:type="dxa"/>
            <w:vAlign w:val="center"/>
          </w:tcPr>
          <w:p w14:paraId="772218B8" w14:textId="52F108FE" w:rsidR="00162947" w:rsidRPr="00AE1189" w:rsidRDefault="00162947"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w:t>
            </w:r>
          </w:p>
        </w:tc>
        <w:tc>
          <w:tcPr>
            <w:tcW w:w="4678" w:type="dxa"/>
          </w:tcPr>
          <w:p w14:paraId="7B3A479D" w14:textId="1FFE3ACA"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3. </w:t>
            </w:r>
            <w:r w:rsidRPr="00AE1189">
              <w:rPr>
                <w:rFonts w:ascii="Times New Roman" w:eastAsia="Times New Roman" w:hAnsi="Times New Roman" w:cs="Times New Roman"/>
              </w:rPr>
              <w:t>Сфера застосування оцінки впливу на довкілля</w:t>
            </w:r>
          </w:p>
          <w:p w14:paraId="000BD017" w14:textId="05DA5949"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Оцінці впливу на довкілля не підлягає діяльність, прямо не передбачена частинами другою і третьою цієї статті, а також планована діяльність, спрямована виключно на забезпечення оборони держави, ліквідацію наслідків надзвичайних ситуацій, відновлювальні роботи з ліквідації наслідків збройної агресії та бойових дій під час дії воєнного стану та у відбудовний період після закінчення воєнних дій, </w:t>
            </w:r>
            <w:r w:rsidRPr="00AE1189">
              <w:rPr>
                <w:rFonts w:ascii="Times New Roman" w:eastAsia="Times New Roman" w:hAnsi="Times New Roman" w:cs="Times New Roman"/>
                <w:b/>
              </w:rPr>
              <w:t>відповідно до критеріїв, затверджених Кабінетом Міністрів України</w:t>
            </w:r>
            <w:r w:rsidRPr="00AE1189">
              <w:rPr>
                <w:rFonts w:ascii="Times New Roman" w:eastAsia="Times New Roman" w:hAnsi="Times New Roman" w:cs="Times New Roman"/>
              </w:rPr>
              <w:t>.</w:t>
            </w:r>
          </w:p>
        </w:tc>
        <w:tc>
          <w:tcPr>
            <w:tcW w:w="4961" w:type="dxa"/>
          </w:tcPr>
          <w:p w14:paraId="77FA9A92"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3. </w:t>
            </w:r>
            <w:r w:rsidRPr="00AE1189">
              <w:rPr>
                <w:rFonts w:ascii="Times New Roman" w:eastAsia="Times New Roman" w:hAnsi="Times New Roman" w:cs="Times New Roman"/>
              </w:rPr>
              <w:t>Сфера застосування оцінки впливу на довкілля</w:t>
            </w:r>
          </w:p>
          <w:p w14:paraId="603AB202" w14:textId="5600A90E"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Оцінці впливу на довкілля не підлягає діяльність, прямо не передбачена частинами другою і третьою цієї статті, а також планована діяльність, спрямована виключно на забезпечення оборони держави, ліквідацію наслідків надзвичайних ситуацій, відновлювальні роботи з ліквідації наслідків збройної агресії та бойових дій, </w:t>
            </w:r>
            <w:r w:rsidRPr="00AE1189">
              <w:rPr>
                <w:rFonts w:ascii="Times New Roman" w:eastAsia="Times New Roman" w:hAnsi="Times New Roman" w:cs="Times New Roman"/>
                <w:b/>
                <w:bCs/>
                <w:color w:val="FF0000"/>
              </w:rPr>
              <w:t xml:space="preserve">релокацію підприємств, їх окремих </w:t>
            </w:r>
            <w:proofErr w:type="spellStart"/>
            <w:r w:rsidRPr="00AE1189">
              <w:rPr>
                <w:rFonts w:ascii="Times New Roman" w:eastAsia="Times New Roman" w:hAnsi="Times New Roman" w:cs="Times New Roman"/>
                <w:b/>
                <w:bCs/>
                <w:color w:val="FF0000"/>
              </w:rPr>
              <w:t>цехів</w:t>
            </w:r>
            <w:proofErr w:type="spellEnd"/>
            <w:r w:rsidRPr="00AE1189">
              <w:rPr>
                <w:rFonts w:ascii="Times New Roman" w:eastAsia="Times New Roman" w:hAnsi="Times New Roman" w:cs="Times New Roman"/>
                <w:b/>
                <w:bCs/>
                <w:color w:val="FF0000"/>
              </w:rPr>
              <w:t>, виробничих потужностей</w:t>
            </w:r>
            <w:r w:rsidRPr="00AE1189">
              <w:rPr>
                <w:rFonts w:ascii="Times New Roman" w:eastAsia="Times New Roman" w:hAnsi="Times New Roman" w:cs="Times New Roman"/>
              </w:rPr>
              <w:t xml:space="preserve"> під час дії воєнного стану та у відбудовний період після закінчення воєнних дій, </w:t>
            </w:r>
            <w:r w:rsidRPr="00AE1189">
              <w:rPr>
                <w:rFonts w:ascii="Times New Roman" w:eastAsia="Times New Roman" w:hAnsi="Times New Roman" w:cs="Times New Roman"/>
                <w:b/>
              </w:rPr>
              <w:t>відповідно до критеріїв, затверджених Кабінетом Міністрів України</w:t>
            </w:r>
            <w:r w:rsidRPr="00AE1189">
              <w:rPr>
                <w:rFonts w:ascii="Times New Roman" w:eastAsia="Times New Roman" w:hAnsi="Times New Roman" w:cs="Times New Roman"/>
              </w:rPr>
              <w:t>.</w:t>
            </w:r>
          </w:p>
        </w:tc>
        <w:tc>
          <w:tcPr>
            <w:tcW w:w="4961" w:type="dxa"/>
          </w:tcPr>
          <w:p w14:paraId="2DE3ABE0" w14:textId="2E5A6CA6" w:rsidR="00162947" w:rsidRPr="00AE1189" w:rsidRDefault="00162947" w:rsidP="00A5131A">
            <w:pPr>
              <w:shd w:val="clear" w:color="auto" w:fill="FFFFFF"/>
              <w:jc w:val="both"/>
              <w:rPr>
                <w:rFonts w:ascii="Times New Roman" w:eastAsia="Times New Roman" w:hAnsi="Times New Roman" w:cs="Times New Roman"/>
                <w:bCs/>
              </w:rPr>
            </w:pPr>
            <w:r w:rsidRPr="00162947">
              <w:rPr>
                <w:rFonts w:ascii="Times New Roman" w:eastAsia="Times New Roman" w:hAnsi="Times New Roman" w:cs="Times New Roman"/>
                <w:b/>
              </w:rPr>
              <w:t>З метою зберегти активів та потужностей, необхідних для утримання економіки країни та її подальшого відновлення, а також збереження  робочих місць</w:t>
            </w:r>
            <w:r w:rsidRPr="00AE1189">
              <w:rPr>
                <w:rFonts w:ascii="Times New Roman" w:eastAsia="Times New Roman" w:hAnsi="Times New Roman" w:cs="Times New Roman"/>
                <w:bCs/>
              </w:rPr>
              <w:t xml:space="preserve"> ПАЕУ пропоную виключити з переліку видів планованої діяльності, що передбачає оцінку впливу на довкілля релокацію підприємств, </w:t>
            </w:r>
            <w:r w:rsidRPr="00AE1189">
              <w:rPr>
                <w:rFonts w:ascii="Times New Roman" w:eastAsia="Times New Roman" w:hAnsi="Times New Roman" w:cs="Times New Roman"/>
              </w:rPr>
              <w:t xml:space="preserve">їх окремих </w:t>
            </w:r>
            <w:proofErr w:type="spellStart"/>
            <w:r w:rsidRPr="00AE1189">
              <w:rPr>
                <w:rFonts w:ascii="Times New Roman" w:eastAsia="Times New Roman" w:hAnsi="Times New Roman" w:cs="Times New Roman"/>
              </w:rPr>
              <w:t>цехів</w:t>
            </w:r>
            <w:proofErr w:type="spellEnd"/>
            <w:r w:rsidRPr="00AE1189">
              <w:rPr>
                <w:rFonts w:ascii="Times New Roman" w:eastAsia="Times New Roman" w:hAnsi="Times New Roman" w:cs="Times New Roman"/>
              </w:rPr>
              <w:t>, виробничих потужностей</w:t>
            </w:r>
          </w:p>
          <w:p w14:paraId="1245881F" w14:textId="77777777" w:rsidR="00162947" w:rsidRPr="00AE1189" w:rsidRDefault="00162947" w:rsidP="00A5131A">
            <w:pPr>
              <w:shd w:val="clear" w:color="auto" w:fill="FFFFFF"/>
              <w:jc w:val="both"/>
              <w:rPr>
                <w:rFonts w:ascii="Times New Roman" w:eastAsia="Times New Roman" w:hAnsi="Times New Roman" w:cs="Times New Roman"/>
                <w:bCs/>
              </w:rPr>
            </w:pPr>
          </w:p>
          <w:p w14:paraId="46CBE4A6" w14:textId="28802100" w:rsidR="00162947" w:rsidRPr="00AE1189" w:rsidRDefault="00162947" w:rsidP="00A5131A">
            <w:pPr>
              <w:shd w:val="clear" w:color="auto" w:fill="FFFFFF"/>
              <w:jc w:val="both"/>
              <w:rPr>
                <w:rFonts w:ascii="Times New Roman" w:eastAsia="Times New Roman" w:hAnsi="Times New Roman" w:cs="Times New Roman"/>
                <w:bCs/>
              </w:rPr>
            </w:pPr>
          </w:p>
        </w:tc>
      </w:tr>
      <w:tr w:rsidR="00162947" w:rsidRPr="00AE1189" w14:paraId="4D03D43D" w14:textId="77777777" w:rsidTr="00162947">
        <w:trPr>
          <w:trHeight w:val="852"/>
        </w:trPr>
        <w:tc>
          <w:tcPr>
            <w:tcW w:w="704" w:type="dxa"/>
            <w:vAlign w:val="center"/>
          </w:tcPr>
          <w:p w14:paraId="37829D55" w14:textId="50C8183F" w:rsidR="00162947" w:rsidRPr="00AE1189" w:rsidRDefault="000668F8"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3</w:t>
            </w:r>
          </w:p>
        </w:tc>
        <w:tc>
          <w:tcPr>
            <w:tcW w:w="4678" w:type="dxa"/>
          </w:tcPr>
          <w:p w14:paraId="302B3928" w14:textId="67D0275A"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4.</w:t>
            </w:r>
            <w:r w:rsidRPr="00AE1189">
              <w:rPr>
                <w:rFonts w:ascii="Times New Roman" w:eastAsia="Times New Roman" w:hAnsi="Times New Roman" w:cs="Times New Roman"/>
              </w:rPr>
              <w:t> Гласність оцінки впливу на довкілля</w:t>
            </w:r>
          </w:p>
          <w:p w14:paraId="5A2A9F39" w14:textId="053C7925"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w:t>
            </w:r>
            <w:r w:rsidRPr="00AE1189">
              <w:rPr>
                <w:rFonts w:ascii="Times New Roman" w:eastAsia="Times New Roman" w:hAnsi="Times New Roman" w:cs="Times New Roman"/>
              </w:rPr>
              <w:br/>
            </w:r>
          </w:p>
          <w:p w14:paraId="6022AB58" w14:textId="1C6141EB"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3. Повідомлення про плановану діяльність, яка підлягає оцінці впливу на довкілля, оголошення про початок громадського обговорення звіту з оцінки впливу на довкілля </w:t>
            </w:r>
            <w:r w:rsidRPr="00AE1189">
              <w:rPr>
                <w:rFonts w:ascii="Times New Roman" w:eastAsia="Times New Roman" w:hAnsi="Times New Roman" w:cs="Times New Roman"/>
                <w:b/>
                <w:bCs/>
              </w:rPr>
              <w:t xml:space="preserve">оприлюднюються </w:t>
            </w:r>
            <w:r w:rsidRPr="00AE1189">
              <w:rPr>
                <w:rFonts w:ascii="Times New Roman" w:eastAsia="Times New Roman" w:hAnsi="Times New Roman" w:cs="Times New Roman"/>
              </w:rPr>
              <w:t xml:space="preserve">суб’єктом господарювання шляхом </w:t>
            </w:r>
            <w:r w:rsidRPr="00AE1189">
              <w:rPr>
                <w:rFonts w:ascii="Times New Roman" w:eastAsia="Times New Roman" w:hAnsi="Times New Roman" w:cs="Times New Roman"/>
                <w:b/>
              </w:rPr>
              <w:t>розміщення не менше ніж в трьох публічних</w:t>
            </w:r>
            <w:r w:rsidRPr="00AE1189">
              <w:rPr>
                <w:rFonts w:ascii="Times New Roman" w:eastAsia="Times New Roman" w:hAnsi="Times New Roman" w:cs="Times New Roman"/>
                <w:b/>
                <w:color w:val="FF0000"/>
              </w:rPr>
              <w:t xml:space="preserve"> </w:t>
            </w:r>
            <w:r w:rsidRPr="00AE1189">
              <w:rPr>
                <w:rFonts w:ascii="Times New Roman" w:eastAsia="Times New Roman" w:hAnsi="Times New Roman" w:cs="Times New Roman"/>
                <w:b/>
              </w:rPr>
              <w:lastRenderedPageBreak/>
              <w:t xml:space="preserve">місцях (зокрема, на дошках оголошень </w:t>
            </w:r>
            <w:r w:rsidRPr="00AE1189">
              <w:rPr>
                <w:rFonts w:ascii="Times New Roman" w:eastAsia="Times New Roman" w:hAnsi="Times New Roman" w:cs="Times New Roman"/>
                <w:b/>
                <w:color w:val="FF0000"/>
              </w:rPr>
              <w:t>органів місцевого самоврядування</w:t>
            </w:r>
            <w:r w:rsidRPr="00AE1189">
              <w:rPr>
                <w:rFonts w:ascii="Times New Roman" w:eastAsia="Times New Roman" w:hAnsi="Times New Roman" w:cs="Times New Roman"/>
                <w:b/>
              </w:rPr>
              <w:t xml:space="preserve">,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адміністративно-територіальних одиницях, які можуть зазнати впливу планованої діяльності. Суб’єкт господарювання може додатково оприлюднювати документи, зазначені у цій частині, в інший спосіб, що разом з іншими способами інформування забезпечуватиме доведення інформації до відома мешканців відповідної адміністративно-територіальної одиниці, на території якої планується розміщення об’єкта, та адміністративно-територіальних одиниць, які можуть зазнати впливу планованої діяльності. Суб’єкт господарювання засобами реєстру подає уповноваженому територіальному органу, а у випадках, визначених частинами третьою і четвертою статті 5 цього Закону, - уповноваженому центральному органу, відомості, що підтверджують факт та дату оприлюднення суб’єктом господарювання повідомлення про плановану діяльність, яка підлягає оцінці впливу на довкілля, згідно із </w:t>
            </w:r>
            <w:r w:rsidRPr="00AE1189">
              <w:rPr>
                <w:rFonts w:ascii="Times New Roman" w:eastAsia="Times New Roman" w:hAnsi="Times New Roman" w:cs="Times New Roman"/>
                <w:b/>
              </w:rPr>
              <w:lastRenderedPageBreak/>
              <w:t>цією частиною. Уповноважений орган вносить зазначені відомості до Єдиного реєстру з оцінки впливу на довкілля не пізніше наступного робочого дня з дня їх надходження, а також перевіряє та вносить зазначену інформацію до звіту про громадське обговорення.</w:t>
            </w:r>
          </w:p>
        </w:tc>
        <w:tc>
          <w:tcPr>
            <w:tcW w:w="4961" w:type="dxa"/>
            <w:tcBorders>
              <w:top w:val="single" w:sz="4" w:space="0" w:color="000000"/>
              <w:left w:val="single" w:sz="4" w:space="0" w:color="000000"/>
              <w:bottom w:val="single" w:sz="4" w:space="0" w:color="000000"/>
              <w:right w:val="single" w:sz="4" w:space="0" w:color="000000"/>
            </w:tcBorders>
          </w:tcPr>
          <w:p w14:paraId="09B0A105"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lastRenderedPageBreak/>
              <w:t>Стаття 4.</w:t>
            </w:r>
            <w:r w:rsidRPr="00AE1189">
              <w:rPr>
                <w:rFonts w:ascii="Times New Roman" w:eastAsia="Times New Roman" w:hAnsi="Times New Roman" w:cs="Times New Roman"/>
              </w:rPr>
              <w:t> Гласність оцінки впливу на довкілля</w:t>
            </w:r>
          </w:p>
          <w:p w14:paraId="581DF3E3"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w:t>
            </w:r>
            <w:r w:rsidRPr="00AE1189">
              <w:rPr>
                <w:rFonts w:ascii="Times New Roman" w:eastAsia="Times New Roman" w:hAnsi="Times New Roman" w:cs="Times New Roman"/>
              </w:rPr>
              <w:br/>
            </w:r>
          </w:p>
          <w:p w14:paraId="2D14395E" w14:textId="6F68597D"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3. Повідомлення про плановану діяльність, яка підлягає оцінці впливу на довкілля, оголошення про початок громадського обговорення звіту з оцінки впливу на довкілля </w:t>
            </w:r>
            <w:r w:rsidRPr="00AE1189">
              <w:rPr>
                <w:rFonts w:ascii="Times New Roman" w:eastAsia="Times New Roman" w:hAnsi="Times New Roman" w:cs="Times New Roman"/>
                <w:b/>
                <w:bCs/>
              </w:rPr>
              <w:t xml:space="preserve">оприлюднюються </w:t>
            </w:r>
            <w:r w:rsidRPr="00AE1189">
              <w:rPr>
                <w:rFonts w:ascii="Times New Roman" w:eastAsia="Times New Roman" w:hAnsi="Times New Roman" w:cs="Times New Roman"/>
              </w:rPr>
              <w:t xml:space="preserve">суб’єктом господарювання шляхом </w:t>
            </w:r>
            <w:r w:rsidRPr="00AE1189">
              <w:rPr>
                <w:rFonts w:ascii="Times New Roman" w:eastAsia="Times New Roman" w:hAnsi="Times New Roman" w:cs="Times New Roman"/>
                <w:b/>
              </w:rPr>
              <w:t>розміщення не менше ніж в трьох публічних</w:t>
            </w:r>
            <w:r w:rsidRPr="00AE1189">
              <w:rPr>
                <w:rFonts w:ascii="Times New Roman" w:eastAsia="Times New Roman" w:hAnsi="Times New Roman" w:cs="Times New Roman"/>
                <w:b/>
                <w:color w:val="FF0000"/>
              </w:rPr>
              <w:t xml:space="preserve"> </w:t>
            </w:r>
            <w:r w:rsidRPr="00AE1189">
              <w:rPr>
                <w:rFonts w:ascii="Times New Roman" w:eastAsia="Times New Roman" w:hAnsi="Times New Roman" w:cs="Times New Roman"/>
                <w:b/>
              </w:rPr>
              <w:t xml:space="preserve">місцях </w:t>
            </w:r>
            <w:r w:rsidRPr="00AE1189">
              <w:rPr>
                <w:rFonts w:ascii="Times New Roman" w:eastAsia="Times New Roman" w:hAnsi="Times New Roman" w:cs="Times New Roman"/>
                <w:b/>
              </w:rPr>
              <w:lastRenderedPageBreak/>
              <w:t>(зокрема, на дошках оголошень,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адміністративно-територіальних одиницях, які можуть зазнати впливу планованої діяльності. Суб’єкт господарювання може додатково оприлюднювати документи, зазначені у цій частині, в інший спосіб, що разом з іншими способами інформування забезпечуватиме доведення інформації до відома мешканців відповідної адміністративно-територіальної одиниці, на території якої планується розміщення об’єкта, та адміністративно-територіальних одиниць, які можуть зазнати впливу планованої діяльності. Суб’єкт господарювання</w:t>
            </w:r>
            <w:r w:rsidRPr="00AE1189">
              <w:t xml:space="preserve"> </w:t>
            </w:r>
            <w:r w:rsidRPr="00AE1189">
              <w:rPr>
                <w:rFonts w:ascii="Times New Roman" w:eastAsia="Times New Roman" w:hAnsi="Times New Roman" w:cs="Times New Roman"/>
                <w:b/>
              </w:rPr>
              <w:t xml:space="preserve">подає уповноваженому територіальному органу, а у випадках, визначених частинами третьою і четвертою статті 5 цього Закону, - уповноваженому центральному органу, відомості, що підтверджують факт та дату оприлюднення суб’єктом господарювання повідомлення про плановану діяльність, яка підлягає оцінці впливу на довкілля, згідно із цією частиною. Уповноважений орган вносить зазначені відомості до Єдиного реєстру з оцінки впливу на довкілля не пізніше наступного </w:t>
            </w:r>
            <w:r w:rsidRPr="00AE1189">
              <w:rPr>
                <w:rFonts w:ascii="Times New Roman" w:eastAsia="Times New Roman" w:hAnsi="Times New Roman" w:cs="Times New Roman"/>
                <w:b/>
              </w:rPr>
              <w:lastRenderedPageBreak/>
              <w:t>робочого дня з дня їх надходження, а також перевіряє та вносить зазначену інформацію до звіту про громадське обговорення.</w:t>
            </w:r>
          </w:p>
        </w:tc>
        <w:tc>
          <w:tcPr>
            <w:tcW w:w="4961" w:type="dxa"/>
            <w:tcBorders>
              <w:top w:val="single" w:sz="4" w:space="0" w:color="000000"/>
              <w:left w:val="single" w:sz="4" w:space="0" w:color="000000"/>
              <w:bottom w:val="single" w:sz="4" w:space="0" w:color="000000"/>
              <w:right w:val="single" w:sz="4" w:space="0" w:color="000000"/>
            </w:tcBorders>
          </w:tcPr>
          <w:p w14:paraId="157CE2D7" w14:textId="77777777" w:rsidR="00162947" w:rsidRPr="00AE1189" w:rsidRDefault="00162947" w:rsidP="00A5131A">
            <w:pPr>
              <w:shd w:val="clear" w:color="auto" w:fill="FFFFFF"/>
              <w:jc w:val="both"/>
              <w:rPr>
                <w:rFonts w:ascii="Times New Roman" w:eastAsia="Times New Roman" w:hAnsi="Times New Roman" w:cs="Times New Roman"/>
              </w:rPr>
            </w:pPr>
          </w:p>
          <w:p w14:paraId="196D9285" w14:textId="074B9001"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 xml:space="preserve">Необхідність розміщення суб’єктом господарювання вищезазначених документів на дошках оголошень органів місцевого самоврядування </w:t>
            </w:r>
            <w:r w:rsidRPr="00AE1189">
              <w:rPr>
                <w:rFonts w:ascii="Times New Roman" w:eastAsia="Times New Roman" w:hAnsi="Times New Roman" w:cs="Times New Roman"/>
                <w:b/>
                <w:bCs/>
              </w:rPr>
              <w:t>дублюється з територіальними громадами:</w:t>
            </w:r>
            <w:r w:rsidRPr="00AE1189">
              <w:rPr>
                <w:rFonts w:ascii="Times New Roman" w:eastAsia="Times New Roman" w:hAnsi="Times New Roman" w:cs="Times New Roman"/>
              </w:rPr>
              <w:t xml:space="preserve"> і територіальні громади і суб'єкти господарювання зобов’язанні розмістити один і той же документ в одному місці - на дошці оголошень органу місцевого самоврядування. </w:t>
            </w:r>
            <w:r w:rsidRPr="00AE1189">
              <w:rPr>
                <w:rFonts w:ascii="Times New Roman" w:eastAsia="Times New Roman" w:hAnsi="Times New Roman" w:cs="Times New Roman"/>
              </w:rPr>
              <w:lastRenderedPageBreak/>
              <w:t>ПАЕУ пропонуємо передбачити розміщення вказаних документів на дошках оголошень територіальних громад лише  територіальними громадами.</w:t>
            </w:r>
          </w:p>
          <w:p w14:paraId="487308A4" w14:textId="77777777" w:rsidR="00162947" w:rsidRPr="00AE1189" w:rsidRDefault="00162947" w:rsidP="00A5131A">
            <w:pPr>
              <w:shd w:val="clear" w:color="auto" w:fill="FFFFFF"/>
              <w:jc w:val="both"/>
              <w:rPr>
                <w:rFonts w:ascii="Times New Roman" w:eastAsia="Times New Roman" w:hAnsi="Times New Roman" w:cs="Times New Roman"/>
              </w:rPr>
            </w:pPr>
          </w:p>
          <w:p w14:paraId="7BE9A249" w14:textId="78987BE1" w:rsidR="00162947" w:rsidRPr="00AE1189" w:rsidRDefault="00162947" w:rsidP="00A5131A">
            <w:pPr>
              <w:shd w:val="clear" w:color="auto" w:fill="FFFFFF"/>
              <w:jc w:val="both"/>
              <w:rPr>
                <w:rFonts w:ascii="Times New Roman" w:eastAsia="Times New Roman" w:hAnsi="Times New Roman" w:cs="Times New Roman"/>
              </w:rPr>
            </w:pPr>
          </w:p>
        </w:tc>
      </w:tr>
      <w:tr w:rsidR="00162947" w:rsidRPr="00AE1189" w14:paraId="27522DE0" w14:textId="77777777" w:rsidTr="00162947">
        <w:trPr>
          <w:trHeight w:val="852"/>
        </w:trPr>
        <w:tc>
          <w:tcPr>
            <w:tcW w:w="704" w:type="dxa"/>
            <w:vAlign w:val="center"/>
          </w:tcPr>
          <w:p w14:paraId="6730DBE0" w14:textId="51C55795" w:rsidR="00162947" w:rsidRPr="00A51554" w:rsidRDefault="000668F8" w:rsidP="00A5131A">
            <w:pPr>
              <w:shd w:val="clear" w:color="auto" w:fill="FFFFFF"/>
              <w:jc w:val="center"/>
              <w:rPr>
                <w:rFonts w:ascii="Times New Roman" w:eastAsia="Times New Roman" w:hAnsi="Times New Roman" w:cs="Times New Roman"/>
                <w:b/>
                <w:color w:val="FF0000"/>
              </w:rPr>
            </w:pPr>
            <w:r w:rsidRPr="000668F8">
              <w:rPr>
                <w:rFonts w:ascii="Times New Roman" w:eastAsia="Times New Roman" w:hAnsi="Times New Roman" w:cs="Times New Roman"/>
                <w:b/>
              </w:rPr>
              <w:lastRenderedPageBreak/>
              <w:t>4</w:t>
            </w:r>
          </w:p>
        </w:tc>
        <w:tc>
          <w:tcPr>
            <w:tcW w:w="4678" w:type="dxa"/>
          </w:tcPr>
          <w:p w14:paraId="1C095AAB" w14:textId="28DAA6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4.</w:t>
            </w:r>
            <w:r w:rsidRPr="00AE1189">
              <w:rPr>
                <w:rFonts w:ascii="Times New Roman" w:eastAsia="Times New Roman" w:hAnsi="Times New Roman" w:cs="Times New Roman"/>
              </w:rPr>
              <w:t> Гласність оцінки впливу на довкілля</w:t>
            </w:r>
          </w:p>
          <w:p w14:paraId="1449FBA6"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w:t>
            </w:r>
            <w:r w:rsidRPr="00AE1189">
              <w:rPr>
                <w:rFonts w:ascii="Times New Roman" w:eastAsia="Times New Roman" w:hAnsi="Times New Roman" w:cs="Times New Roman"/>
              </w:rPr>
              <w:br/>
            </w:r>
          </w:p>
          <w:p w14:paraId="68A978CF" w14:textId="005D3F1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4. Інформація про висновок з оцінки впливу на довкілля та рішення про провадження планованої діяльності (із зазначенням органу, номера та дати їх прийняття) оприлюднюється суб’єктом господарювання протягом трьох робочих днів з дня отримання </w:t>
            </w:r>
            <w:r w:rsidRPr="00AE1189">
              <w:rPr>
                <w:rFonts w:ascii="Times New Roman" w:eastAsia="Times New Roman" w:hAnsi="Times New Roman" w:cs="Times New Roman"/>
                <w:b/>
              </w:rPr>
              <w:t>ним рішення про провадження планованої діяльності шляхом розміщення в порядку, визначеному частиною третьою цієї статті.</w:t>
            </w:r>
          </w:p>
          <w:p w14:paraId="7AE0E800" w14:textId="77777777" w:rsidR="00162947" w:rsidRPr="00AE1189" w:rsidRDefault="00162947" w:rsidP="00A5131A">
            <w:pPr>
              <w:shd w:val="clear" w:color="auto" w:fill="FFFFFF"/>
              <w:jc w:val="both"/>
              <w:rPr>
                <w:rFonts w:ascii="Times New Roman" w:eastAsia="Times New Roman" w:hAnsi="Times New Roman" w:cs="Times New Roman"/>
                <w:b/>
              </w:rPr>
            </w:pPr>
          </w:p>
        </w:tc>
        <w:tc>
          <w:tcPr>
            <w:tcW w:w="4961" w:type="dxa"/>
          </w:tcPr>
          <w:p w14:paraId="033EA4B8"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4.</w:t>
            </w:r>
            <w:r w:rsidRPr="00AE1189">
              <w:rPr>
                <w:rFonts w:ascii="Times New Roman" w:eastAsia="Times New Roman" w:hAnsi="Times New Roman" w:cs="Times New Roman"/>
              </w:rPr>
              <w:t> Гласність оцінки впливу на довкілля</w:t>
            </w:r>
          </w:p>
          <w:p w14:paraId="582E4CA1" w14:textId="1541CD5C" w:rsidR="00162947" w:rsidRPr="00AE1189" w:rsidRDefault="00162947" w:rsidP="00A5131A">
            <w:pPr>
              <w:pStyle w:val="a6"/>
              <w:rPr>
                <w:rFonts w:ascii="Times New Roman" w:hAnsi="Times New Roman" w:cs="Times New Roman"/>
                <w:sz w:val="22"/>
                <w:szCs w:val="22"/>
              </w:rPr>
            </w:pPr>
            <w:r w:rsidRPr="00AE1189">
              <w:rPr>
                <w:rFonts w:ascii="Times New Roman" w:eastAsia="Times New Roman" w:hAnsi="Times New Roman" w:cs="Times New Roman"/>
                <w:sz w:val="22"/>
                <w:szCs w:val="22"/>
              </w:rPr>
              <w:t>…</w:t>
            </w:r>
            <w:r w:rsidRPr="00AE1189">
              <w:rPr>
                <w:rFonts w:ascii="Times New Roman" w:eastAsia="Times New Roman" w:hAnsi="Times New Roman" w:cs="Times New Roman"/>
                <w:sz w:val="22"/>
                <w:szCs w:val="22"/>
              </w:rPr>
              <w:br/>
            </w:r>
          </w:p>
          <w:p w14:paraId="21312F54" w14:textId="63717D1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highlight w:val="white"/>
              </w:rPr>
              <w:t xml:space="preserve">4. Інформація про висновок з оцінки впливу на довкілля та рішення про провадження планованої діяльності (із зазначенням органу, номера та дати їх прийняття) оприлюднюється суб’єктом господарювання протягом трьох робочих днів з дня отримання </w:t>
            </w:r>
            <w:r w:rsidRPr="00AE1189">
              <w:rPr>
                <w:rFonts w:ascii="Times New Roman" w:eastAsia="Times New Roman" w:hAnsi="Times New Roman" w:cs="Times New Roman"/>
                <w:bCs/>
                <w:highlight w:val="white"/>
              </w:rPr>
              <w:t>суб’єктом господарювання</w:t>
            </w:r>
            <w:r w:rsidRPr="00AE1189">
              <w:rPr>
                <w:rFonts w:ascii="Times New Roman" w:eastAsia="Times New Roman" w:hAnsi="Times New Roman" w:cs="Times New Roman"/>
                <w:highlight w:val="white"/>
              </w:rPr>
              <w:t xml:space="preserve"> </w:t>
            </w:r>
            <w:r w:rsidRPr="00AE1189">
              <w:rPr>
                <w:rFonts w:ascii="Times New Roman" w:eastAsia="Times New Roman" w:hAnsi="Times New Roman" w:cs="Times New Roman"/>
                <w:b/>
                <w:bCs/>
                <w:highlight w:val="white"/>
              </w:rPr>
              <w:t>висновку з оцінки впливу на довкілля або рішення про провадження планованої діяльності шляхом розміщення в порядку, визначеному частиною третьою цієї статті.</w:t>
            </w:r>
          </w:p>
        </w:tc>
        <w:tc>
          <w:tcPr>
            <w:tcW w:w="4961" w:type="dxa"/>
          </w:tcPr>
          <w:p w14:paraId="1911E17D" w14:textId="3A5B245F" w:rsidR="00162947" w:rsidRPr="00AE1189" w:rsidRDefault="00162947" w:rsidP="00A5131A">
            <w:pPr>
              <w:pStyle w:val="a6"/>
              <w:rPr>
                <w:rFonts w:ascii="Times New Roman" w:eastAsia="Times New Roman" w:hAnsi="Times New Roman" w:cs="Times New Roman"/>
                <w:sz w:val="22"/>
                <w:szCs w:val="22"/>
              </w:rPr>
            </w:pPr>
            <w:r w:rsidRPr="00AE1189">
              <w:rPr>
                <w:rFonts w:ascii="Times New Roman" w:hAnsi="Times New Roman" w:cs="Times New Roman"/>
                <w:b/>
                <w:bCs/>
                <w:sz w:val="22"/>
                <w:szCs w:val="22"/>
              </w:rPr>
              <w:t xml:space="preserve">Рішення </w:t>
            </w:r>
            <w:r w:rsidRPr="00AE1189">
              <w:rPr>
                <w:rFonts w:ascii="Times New Roman" w:eastAsia="Times New Roman" w:hAnsi="Times New Roman" w:cs="Times New Roman"/>
                <w:b/>
                <w:bCs/>
                <w:sz w:val="22"/>
                <w:szCs w:val="22"/>
              </w:rPr>
              <w:t>про провадження планованої діяльності можливо отримувати протягом 5 років з дати отримання висновку</w:t>
            </w:r>
            <w:r w:rsidRPr="00AE1189">
              <w:rPr>
                <w:rFonts w:ascii="Times New Roman" w:eastAsia="Times New Roman" w:hAnsi="Times New Roman" w:cs="Times New Roman"/>
                <w:sz w:val="22"/>
                <w:szCs w:val="22"/>
              </w:rPr>
              <w:t xml:space="preserve"> з оцінки впливу на довкілля. </w:t>
            </w:r>
          </w:p>
          <w:p w14:paraId="60BE3904" w14:textId="77777777" w:rsidR="00162947" w:rsidRPr="00AE1189" w:rsidRDefault="00162947" w:rsidP="00A5131A">
            <w:pPr>
              <w:pStyle w:val="a6"/>
              <w:rPr>
                <w:rFonts w:ascii="Times New Roman" w:eastAsia="Times New Roman" w:hAnsi="Times New Roman" w:cs="Times New Roman"/>
                <w:sz w:val="22"/>
                <w:szCs w:val="22"/>
              </w:rPr>
            </w:pPr>
          </w:p>
          <w:p w14:paraId="4E719690" w14:textId="5E0429A3" w:rsidR="00162947" w:rsidRPr="00AE1189" w:rsidRDefault="00162947" w:rsidP="00A5131A">
            <w:pPr>
              <w:pStyle w:val="a6"/>
              <w:rPr>
                <w:rFonts w:ascii="Times New Roman" w:eastAsia="Times New Roman" w:hAnsi="Times New Roman" w:cs="Times New Roman"/>
                <w:sz w:val="22"/>
                <w:szCs w:val="22"/>
              </w:rPr>
            </w:pPr>
            <w:r w:rsidRPr="00AE1189">
              <w:rPr>
                <w:rFonts w:ascii="Times New Roman" w:eastAsia="Times New Roman" w:hAnsi="Times New Roman" w:cs="Times New Roman"/>
                <w:sz w:val="22"/>
                <w:szCs w:val="22"/>
              </w:rPr>
              <w:t xml:space="preserve">Між висновком з ОВД і рішенням </w:t>
            </w:r>
            <w:r w:rsidRPr="00AE1189">
              <w:rPr>
                <w:rFonts w:ascii="Times New Roman" w:eastAsia="Times New Roman" w:hAnsi="Times New Roman" w:cs="Times New Roman"/>
                <w:sz w:val="22"/>
                <w:szCs w:val="22"/>
                <w:highlight w:val="white"/>
              </w:rPr>
              <w:t>про провадження планованої діяльності</w:t>
            </w:r>
            <w:r w:rsidRPr="00AE1189">
              <w:rPr>
                <w:rFonts w:ascii="Times New Roman" w:eastAsia="Times New Roman" w:hAnsi="Times New Roman" w:cs="Times New Roman"/>
                <w:sz w:val="22"/>
                <w:szCs w:val="22"/>
              </w:rPr>
              <w:t xml:space="preserve"> може пройти декілька років.</w:t>
            </w:r>
          </w:p>
          <w:p w14:paraId="76A9EA6D" w14:textId="2F7429B5" w:rsidR="00162947" w:rsidRPr="00AE1189" w:rsidRDefault="00162947" w:rsidP="00A5131A">
            <w:pPr>
              <w:pStyle w:val="a6"/>
              <w:rPr>
                <w:rFonts w:ascii="Times New Roman" w:eastAsia="Times New Roman" w:hAnsi="Times New Roman" w:cs="Times New Roman"/>
                <w:sz w:val="22"/>
                <w:szCs w:val="22"/>
              </w:rPr>
            </w:pPr>
            <w:r w:rsidRPr="00AE1189">
              <w:rPr>
                <w:rFonts w:ascii="Times New Roman" w:eastAsia="Times New Roman" w:hAnsi="Times New Roman" w:cs="Times New Roman"/>
                <w:sz w:val="22"/>
                <w:szCs w:val="22"/>
              </w:rPr>
              <w:t>В зв’язку з чим ПАЕУ пропонує відповідну редакцію статті</w:t>
            </w:r>
          </w:p>
          <w:p w14:paraId="76F16F92" w14:textId="77777777" w:rsidR="00162947" w:rsidRPr="00AE1189" w:rsidRDefault="00162947" w:rsidP="00A5131A">
            <w:pPr>
              <w:shd w:val="clear" w:color="auto" w:fill="FFFFFF"/>
              <w:jc w:val="both"/>
              <w:rPr>
                <w:rFonts w:ascii="Times New Roman" w:eastAsia="Times New Roman" w:hAnsi="Times New Roman" w:cs="Times New Roman"/>
                <w:bCs/>
              </w:rPr>
            </w:pPr>
          </w:p>
        </w:tc>
      </w:tr>
      <w:tr w:rsidR="00162947" w:rsidRPr="00AE1189" w14:paraId="2187B1FE" w14:textId="6A4DFD51" w:rsidTr="00162947">
        <w:trPr>
          <w:trHeight w:val="20962"/>
        </w:trPr>
        <w:tc>
          <w:tcPr>
            <w:tcW w:w="704" w:type="dxa"/>
            <w:vAlign w:val="center"/>
          </w:tcPr>
          <w:p w14:paraId="1827DE33" w14:textId="019F380F" w:rsidR="00162947" w:rsidRPr="00AE1189" w:rsidRDefault="000668F8"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lastRenderedPageBreak/>
              <w:t>5</w:t>
            </w:r>
          </w:p>
        </w:tc>
        <w:tc>
          <w:tcPr>
            <w:tcW w:w="4678" w:type="dxa"/>
          </w:tcPr>
          <w:p w14:paraId="22FF7C8C" w14:textId="75F020D1"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9. </w:t>
            </w:r>
            <w:r w:rsidRPr="00AE1189">
              <w:rPr>
                <w:rFonts w:ascii="Times New Roman" w:eastAsia="Times New Roman" w:hAnsi="Times New Roman" w:cs="Times New Roman"/>
              </w:rPr>
              <w:t>Висновок з оцінки впливу на довкілля</w:t>
            </w:r>
          </w:p>
          <w:p w14:paraId="0F39622E"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6</w:t>
            </w:r>
            <w:r w:rsidRPr="00AE1189">
              <w:rPr>
                <w:rFonts w:ascii="Times New Roman" w:eastAsia="Times New Roman" w:hAnsi="Times New Roman" w:cs="Times New Roman"/>
                <w:b/>
                <w:vertAlign w:val="superscript"/>
              </w:rPr>
              <w:t>1</w:t>
            </w:r>
            <w:r w:rsidRPr="00AE1189">
              <w:rPr>
                <w:rFonts w:ascii="Times New Roman" w:eastAsia="Times New Roman" w:hAnsi="Times New Roman" w:cs="Times New Roman"/>
                <w:b/>
              </w:rPr>
              <w:t>. Підставами для надання висновку з оцінки впливу на довкілля, у якому визначена недопустимість провадження планованої діяльності, є:</w:t>
            </w:r>
          </w:p>
          <w:p w14:paraId="277830C4"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наявність встановлених законами заборон чи обмежень, які унеможливлюють провадження планованої діяльності;</w:t>
            </w:r>
          </w:p>
          <w:p w14:paraId="18376E1B" w14:textId="369ECF21"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виявлення того, що з урахуванням вимог частини першої цієї статті, в тому числі в результаті вжиття передбачених заходів, спрямованих на запобігання, зменшення, усунення впливу на довкілля, та/або встановлення додаткових обґрунтованих екологічних умов, вплив планованої діяльності залишатиметься таким, що унеможливлює її провадження згідно з вимогами законодавства.</w:t>
            </w:r>
          </w:p>
        </w:tc>
        <w:tc>
          <w:tcPr>
            <w:tcW w:w="4961" w:type="dxa"/>
          </w:tcPr>
          <w:p w14:paraId="07390B75" w14:textId="77777777" w:rsidR="00162947" w:rsidRPr="00AE1189" w:rsidRDefault="00162947"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9. </w:t>
            </w:r>
            <w:r w:rsidRPr="00AE1189">
              <w:rPr>
                <w:rFonts w:ascii="Times New Roman" w:eastAsia="Times New Roman" w:hAnsi="Times New Roman" w:cs="Times New Roman"/>
              </w:rPr>
              <w:t>Висновок з оцінки впливу на довкілля</w:t>
            </w:r>
          </w:p>
          <w:p w14:paraId="327937D5"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6</w:t>
            </w:r>
            <w:r w:rsidRPr="00AE1189">
              <w:rPr>
                <w:rFonts w:ascii="Times New Roman" w:eastAsia="Times New Roman" w:hAnsi="Times New Roman" w:cs="Times New Roman"/>
                <w:b/>
                <w:vertAlign w:val="superscript"/>
              </w:rPr>
              <w:t>1</w:t>
            </w:r>
            <w:r w:rsidRPr="00AE1189">
              <w:rPr>
                <w:rFonts w:ascii="Times New Roman" w:eastAsia="Times New Roman" w:hAnsi="Times New Roman" w:cs="Times New Roman"/>
                <w:b/>
              </w:rPr>
              <w:t>. Підставами для надання висновку з оцінки впливу на довкілля, у якому визначена недопустимість провадження планованої діяльності, є:</w:t>
            </w:r>
          </w:p>
          <w:p w14:paraId="6F5FC649"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наявність встановлених законами заборон чи обмежень, які унеможливлюють провадження планованої діяльності;</w:t>
            </w:r>
          </w:p>
          <w:p w14:paraId="6A87FCFD" w14:textId="4DA3F198"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виявлення того, що з урахуванням вимог частини першої цієї статті, в тому числі в результаті вжиття передбачених заходів, спрямованих на запобігання, зменшення, усунення впливу на довкілля, та/або встановлення додаткових обґрунтованих екологічних умов, вплив планованої діяльності залишатиметься таким, що унеможливлює її провадження згідно з вимогами законодавства.</w:t>
            </w:r>
          </w:p>
          <w:p w14:paraId="1D581AC8" w14:textId="08C7A7B1"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color w:val="FF0000"/>
              </w:rPr>
              <w:t>У випадку визначення недопустимості провадження планованої діяльності уповноважений територіальний орган, а у випадках, визначених частинами третьою і четвертою статті 5 цього Закону, - уповноважений центральний орган, визначає екологічні умови планованої діяльності, за яких планована діяльність може бути допустимою.</w:t>
            </w:r>
          </w:p>
        </w:tc>
        <w:tc>
          <w:tcPr>
            <w:tcW w:w="4961" w:type="dxa"/>
          </w:tcPr>
          <w:p w14:paraId="06046E8E" w14:textId="01966EF4"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Запропоновані положення </w:t>
            </w:r>
            <w:r w:rsidRPr="00AE1189">
              <w:rPr>
                <w:rFonts w:ascii="Times New Roman" w:hAnsi="Times New Roman" w:cs="Times New Roman"/>
                <w:b/>
                <w:bCs/>
                <w:lang w:eastAsia="ru-RU"/>
              </w:rPr>
              <w:t>суперечить положенням Директиви, яка чітко врегульовує процедуру ОВД, та не передбачає можливості уповноваженому органу визнати діяльність недопустимою без пропозиції альтернативи та відмовити у видачі висновку</w:t>
            </w:r>
            <w:r w:rsidRPr="00AE1189">
              <w:rPr>
                <w:rFonts w:ascii="Times New Roman" w:hAnsi="Times New Roman" w:cs="Times New Roman"/>
                <w:lang w:eastAsia="ru-RU"/>
              </w:rPr>
              <w:t xml:space="preserve"> з ОВД (ст. 1, п. 2 п. п. g Директиви). Відповідно до ст. 6 Закону уповноважений орган видає висновок з оцінки впливу на довкілля, яким виходячи з оцінки впливу на довкілля планованої діяльності, визначає:</w:t>
            </w:r>
          </w:p>
          <w:p w14:paraId="7311FA33" w14:textId="77777777"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 допустимість планованої діяльності чи </w:t>
            </w:r>
          </w:p>
          <w:p w14:paraId="13B874B6" w14:textId="77777777"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обґрунтовує недопустимість провадження планованої діяльності та визначає екологічні умови її провадження. </w:t>
            </w:r>
          </w:p>
          <w:p w14:paraId="26621919" w14:textId="77777777"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Якщо з оцінки впливу на довкілля з розглянутих виправданих альтернативних варіантів виявляється екологічно обґрунтованим варіант, відмінний від запропонованого суб’єктом господарювання, за письмовою згодою із суб’єктом господарювання у висновку з оцінки впливу на довкілля </w:t>
            </w:r>
            <w:r w:rsidRPr="00AE1189">
              <w:rPr>
                <w:rFonts w:ascii="Times New Roman" w:hAnsi="Times New Roman" w:cs="Times New Roman"/>
                <w:b/>
                <w:bCs/>
                <w:lang w:eastAsia="ru-RU"/>
              </w:rPr>
              <w:t>зазначається погоджений варіант здійснення планованої діяльності</w:t>
            </w:r>
            <w:r w:rsidRPr="00AE1189">
              <w:rPr>
                <w:rFonts w:ascii="Times New Roman" w:hAnsi="Times New Roman" w:cs="Times New Roman"/>
                <w:lang w:eastAsia="ru-RU"/>
              </w:rPr>
              <w:t xml:space="preserve">. </w:t>
            </w:r>
          </w:p>
          <w:p w14:paraId="1C69A9A7" w14:textId="77777777"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Більше того, у відповідності до ст. 10 Закону з метою здійснення своїх повноважень, визначених статтями 5, 9 та 14 цього Закону, уповноважений центральний орган та уповноважений територіальний орган можуть утворювати експертні комісії з оцінки впливу на довкілля, члени яких призначаються строком на три роки. Уповноважений центральний орган веде реєстр експертів, з числа яких можуть призначатися члени експертної комісії з оцінки впливу на довкілля.</w:t>
            </w:r>
          </w:p>
          <w:p w14:paraId="1C9E2FC8" w14:textId="77777777" w:rsidR="00162947" w:rsidRPr="00AE1189" w:rsidRDefault="00162947"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Акцентуємо, що експертні послуги членів експертних комісій з оцінки впливу на довкілля, є </w:t>
            </w:r>
            <w:r w:rsidRPr="00AE1189">
              <w:rPr>
                <w:rFonts w:ascii="Times New Roman" w:hAnsi="Times New Roman" w:cs="Times New Roman"/>
                <w:lang w:eastAsia="ru-RU"/>
              </w:rPr>
              <w:lastRenderedPageBreak/>
              <w:t>платними та оплачуються суб’єктами господарювання у складі плати за  проведення громадського обговорення в процесі оцінки впливу на довкілля.</w:t>
            </w:r>
          </w:p>
          <w:p w14:paraId="4CFC01FD" w14:textId="04C9C105" w:rsidR="00162947" w:rsidRPr="00AE1189" w:rsidRDefault="00162947" w:rsidP="00A5131A">
            <w:pPr>
              <w:tabs>
                <w:tab w:val="left" w:pos="993"/>
              </w:tabs>
              <w:contextualSpacing/>
              <w:jc w:val="both"/>
              <w:rPr>
                <w:rFonts w:ascii="Times New Roman" w:eastAsia="Times New Roman" w:hAnsi="Times New Roman" w:cs="Times New Roman"/>
                <w:b/>
              </w:rPr>
            </w:pPr>
            <w:r w:rsidRPr="00AE1189">
              <w:rPr>
                <w:rFonts w:ascii="Times New Roman" w:hAnsi="Times New Roman" w:cs="Times New Roman"/>
                <w:lang w:eastAsia="ru-RU"/>
              </w:rPr>
              <w:t xml:space="preserve">ПАЕУ звертає увагу, що саме </w:t>
            </w:r>
            <w:r w:rsidRPr="00AE1189">
              <w:rPr>
                <w:rFonts w:ascii="Times New Roman" w:hAnsi="Times New Roman" w:cs="Times New Roman"/>
                <w:b/>
                <w:bCs/>
                <w:lang w:eastAsia="ru-RU"/>
              </w:rPr>
              <w:t>можливості обрання екологічно обґрунтованого варіанту планованої діяльності шляхом визнання її допустимою, або шляхом встановлення екологічних умов її провадження (у випадку недопустимості) передбачені Директивою та були імплементовані Законом.</w:t>
            </w:r>
          </w:p>
        </w:tc>
      </w:tr>
      <w:tr w:rsidR="00162947" w:rsidRPr="00AE1189" w14:paraId="089FF64E" w14:textId="77777777" w:rsidTr="00162947">
        <w:trPr>
          <w:trHeight w:val="8317"/>
        </w:trPr>
        <w:tc>
          <w:tcPr>
            <w:tcW w:w="704" w:type="dxa"/>
            <w:vAlign w:val="center"/>
          </w:tcPr>
          <w:p w14:paraId="016BDEBE" w14:textId="400DCCFB" w:rsidR="00162947" w:rsidRPr="00AE1189" w:rsidRDefault="000668F8"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lastRenderedPageBreak/>
              <w:t>6</w:t>
            </w:r>
          </w:p>
        </w:tc>
        <w:tc>
          <w:tcPr>
            <w:tcW w:w="4678" w:type="dxa"/>
          </w:tcPr>
          <w:p w14:paraId="2BD2F398" w14:textId="4C841023"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Стаття 9-1. Відмова у видачі висновку з оцінки впливу на довкілля</w:t>
            </w:r>
          </w:p>
          <w:p w14:paraId="56D7D639"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Підставами для відмови у видачі висновку з оцінки впливу на довкілля є:</w:t>
            </w:r>
          </w:p>
          <w:p w14:paraId="314237E7"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підстави, передбачені Законом України «Про дозвільну систему у сфері господарської діяльності»;</w:t>
            </w:r>
          </w:p>
          <w:p w14:paraId="546761AC"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порушення суб’єктом господарювання вимог щодо оприлюднення повідомлення про плановану діяльність, яка підлягає оцінці впливу на довкілля, встановлених частиною третьою статті 4 цього Закону;</w:t>
            </w:r>
          </w:p>
          <w:p w14:paraId="1D1AEBA3" w14:textId="1E338411" w:rsidR="00162947" w:rsidRPr="004C35E6" w:rsidRDefault="00162947" w:rsidP="00A5131A">
            <w:pPr>
              <w:shd w:val="clear" w:color="auto" w:fill="FFFFFF"/>
              <w:jc w:val="both"/>
              <w:rPr>
                <w:rFonts w:ascii="Times New Roman" w:eastAsia="Times New Roman" w:hAnsi="Times New Roman" w:cs="Times New Roman"/>
                <w:b/>
                <w:color w:val="FF0000"/>
              </w:rPr>
            </w:pPr>
            <w:r w:rsidRPr="00AE1189">
              <w:rPr>
                <w:rFonts w:ascii="Times New Roman" w:eastAsia="Times New Roman" w:hAnsi="Times New Roman" w:cs="Times New Roman"/>
                <w:b/>
              </w:rPr>
              <w:t xml:space="preserve">3) </w:t>
            </w:r>
            <w:bookmarkStart w:id="0" w:name="_Hlk124424634"/>
            <w:r w:rsidR="004C35E6" w:rsidRPr="004C35E6">
              <w:rPr>
                <w:rFonts w:ascii="Times New Roman" w:eastAsia="Times New Roman" w:hAnsi="Times New Roman" w:cs="Times New Roman"/>
                <w:b/>
              </w:rPr>
              <w:t>невідповідність поданих документів вимогам законодавства</w:t>
            </w:r>
            <w:bookmarkEnd w:id="0"/>
            <w:r w:rsidRPr="004C35E6">
              <w:rPr>
                <w:rFonts w:ascii="Times New Roman" w:eastAsia="Times New Roman" w:hAnsi="Times New Roman" w:cs="Times New Roman"/>
                <w:b/>
              </w:rPr>
              <w:t>;</w:t>
            </w:r>
          </w:p>
          <w:p w14:paraId="2CCE9220"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4) порушення суб’єктом господарювання вимог щодо оприлюднення оголошення про початок громадського обговорення звіту з оцінки впливу на довкілля, встановлених частиною третьою статті 4 цього Закону, та/або розміщення та забезпечення доступу до звіту з оцінки впливу на довкілля та іншої документації, необхідної для оцінки впливу на довкілля, встановлених частиною п’ятою статті 4 цього Закону;</w:t>
            </w:r>
          </w:p>
          <w:p w14:paraId="0BC89B29"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5) визнання громадських слухань такими, що не відбулися, у зв’язку з неявкою суб’єкта господарювання, а також порушення ним законодавства про проведення громадських слухань.</w:t>
            </w:r>
          </w:p>
          <w:p w14:paraId="29F53CF4" w14:textId="4FB074DE" w:rsidR="000668F8" w:rsidRPr="00AE1189" w:rsidRDefault="00162947" w:rsidP="000668F8">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 xml:space="preserve">2. </w:t>
            </w:r>
            <w:r w:rsidR="000668F8">
              <w:rPr>
                <w:rFonts w:ascii="Times New Roman" w:eastAsia="Times New Roman" w:hAnsi="Times New Roman" w:cs="Times New Roman"/>
                <w:b/>
              </w:rPr>
              <w:t>…</w:t>
            </w:r>
            <w:r w:rsidRPr="00AE1189">
              <w:rPr>
                <w:rFonts w:ascii="Times New Roman" w:eastAsia="Times New Roman" w:hAnsi="Times New Roman" w:cs="Times New Roman"/>
                <w:b/>
              </w:rPr>
              <w:t xml:space="preserve"> </w:t>
            </w:r>
          </w:p>
          <w:p w14:paraId="0BFA28FE" w14:textId="7B2D6DCE" w:rsidR="00162947" w:rsidRPr="00AE1189" w:rsidRDefault="00162947" w:rsidP="00A5131A">
            <w:pPr>
              <w:shd w:val="clear" w:color="auto" w:fill="FFFFFF"/>
              <w:jc w:val="both"/>
              <w:rPr>
                <w:rFonts w:ascii="Times New Roman" w:eastAsia="Times New Roman" w:hAnsi="Times New Roman" w:cs="Times New Roman"/>
                <w:b/>
              </w:rPr>
            </w:pPr>
          </w:p>
        </w:tc>
        <w:tc>
          <w:tcPr>
            <w:tcW w:w="4961" w:type="dxa"/>
          </w:tcPr>
          <w:p w14:paraId="570EC288"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Стаття 9-1. Відмова у видачі висновку з оцінки впливу на довкілля</w:t>
            </w:r>
          </w:p>
          <w:p w14:paraId="6C49B219"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Підставами для відмови у видачі висновку з оцінки впливу на довкілля є:</w:t>
            </w:r>
          </w:p>
          <w:p w14:paraId="624248FD"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підстави, передбачені Законом України «Про дозвільну систему у сфері господарської діяльності»;</w:t>
            </w:r>
          </w:p>
          <w:p w14:paraId="23F6FEEF"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порушення суб’єктом господарювання вимог щодо оприлюднення повідомлення про плановану діяльність, яка підлягає оцінці впливу на довкілля, встановлених частиною третьою статті 4 цього Закону;</w:t>
            </w:r>
          </w:p>
          <w:p w14:paraId="559ED550" w14:textId="71580D7A" w:rsidR="00162947" w:rsidRPr="004C35E6" w:rsidRDefault="00162947" w:rsidP="00A5131A">
            <w:pPr>
              <w:shd w:val="clear" w:color="auto" w:fill="FFFFFF"/>
              <w:jc w:val="both"/>
              <w:rPr>
                <w:rFonts w:ascii="Times New Roman" w:eastAsia="Times New Roman" w:hAnsi="Times New Roman" w:cs="Times New Roman"/>
                <w:b/>
                <w:color w:val="FF0000"/>
              </w:rPr>
            </w:pPr>
            <w:r w:rsidRPr="004C35E6">
              <w:rPr>
                <w:rFonts w:ascii="Times New Roman" w:eastAsia="Times New Roman" w:hAnsi="Times New Roman" w:cs="Times New Roman"/>
                <w:b/>
                <w:color w:val="FF0000"/>
              </w:rPr>
              <w:t>3)</w:t>
            </w:r>
            <w:r w:rsidR="004C35E6" w:rsidRPr="004C35E6">
              <w:rPr>
                <w:rFonts w:ascii="Times New Roman" w:eastAsia="Times New Roman" w:hAnsi="Times New Roman" w:cs="Times New Roman"/>
                <w:b/>
                <w:color w:val="FF0000"/>
              </w:rPr>
              <w:t xml:space="preserve"> виключити</w:t>
            </w:r>
            <w:r w:rsidRPr="004C35E6">
              <w:rPr>
                <w:rFonts w:ascii="Times New Roman" w:eastAsia="Times New Roman" w:hAnsi="Times New Roman" w:cs="Times New Roman"/>
                <w:b/>
                <w:color w:val="FF0000"/>
              </w:rPr>
              <w:t>;</w:t>
            </w:r>
          </w:p>
          <w:p w14:paraId="496A4AA2" w14:textId="7777777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4) порушення суб’єктом господарювання вимог щодо оприлюднення оголошення про початок громадського обговорення звіту з оцінки впливу на довкілля, встановлених частиною третьою статті 4 цього Закону, та/або розміщення та забезпечення доступу до звіту з оцінки впливу на довкілля та іншої документації, необхідної для оцінки впливу на довкілля, встановлених частиною п’ятою статті 4 цього Закону;</w:t>
            </w:r>
          </w:p>
          <w:p w14:paraId="0DBE0A43" w14:textId="3865B05E" w:rsidR="00162947" w:rsidRPr="00AE1189" w:rsidRDefault="00162947" w:rsidP="00A5131A">
            <w:pPr>
              <w:shd w:val="clear" w:color="auto" w:fill="FFFFFF"/>
              <w:jc w:val="both"/>
              <w:rPr>
                <w:rFonts w:ascii="Times New Roman" w:eastAsia="Times New Roman" w:hAnsi="Times New Roman" w:cs="Times New Roman"/>
                <w:b/>
                <w:color w:val="FF0000"/>
              </w:rPr>
            </w:pPr>
            <w:r w:rsidRPr="00AE1189">
              <w:rPr>
                <w:rFonts w:ascii="Times New Roman" w:eastAsia="Times New Roman" w:hAnsi="Times New Roman" w:cs="Times New Roman"/>
                <w:b/>
                <w:color w:val="FF0000"/>
              </w:rPr>
              <w:t>5) виключити</w:t>
            </w:r>
          </w:p>
          <w:p w14:paraId="17035591" w14:textId="28F88311" w:rsidR="00162947" w:rsidRPr="00AE1189" w:rsidRDefault="00162947" w:rsidP="000668F8">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 xml:space="preserve">2. </w:t>
            </w:r>
            <w:r w:rsidR="000668F8">
              <w:rPr>
                <w:rFonts w:ascii="Times New Roman" w:eastAsia="Times New Roman" w:hAnsi="Times New Roman" w:cs="Times New Roman"/>
                <w:b/>
              </w:rPr>
              <w:t>…</w:t>
            </w:r>
          </w:p>
        </w:tc>
        <w:tc>
          <w:tcPr>
            <w:tcW w:w="4961" w:type="dxa"/>
          </w:tcPr>
          <w:p w14:paraId="472AFB24" w14:textId="05831406" w:rsidR="004C35E6" w:rsidRDefault="004C35E6" w:rsidP="004C35E6">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Виключення п. 3) обґрунтовано тим, що ч. 5 ст. 4-1 </w:t>
            </w:r>
            <w:r w:rsidRPr="004C35E6">
              <w:rPr>
                <w:rFonts w:ascii="Times New Roman" w:eastAsia="Times New Roman" w:hAnsi="Times New Roman" w:cs="Times New Roman"/>
                <w:bCs/>
              </w:rPr>
              <w:t>Закон</w:t>
            </w:r>
            <w:r>
              <w:rPr>
                <w:rFonts w:ascii="Times New Roman" w:eastAsia="Times New Roman" w:hAnsi="Times New Roman" w:cs="Times New Roman"/>
                <w:bCs/>
              </w:rPr>
              <w:t>у</w:t>
            </w:r>
            <w:r w:rsidRPr="004C35E6">
              <w:rPr>
                <w:rFonts w:ascii="Times New Roman" w:eastAsia="Times New Roman" w:hAnsi="Times New Roman" w:cs="Times New Roman"/>
                <w:bCs/>
              </w:rPr>
              <w:t xml:space="preserve"> України «Про дозвільну систему у сфері господарської діяльності»</w:t>
            </w:r>
            <w:r>
              <w:rPr>
                <w:rFonts w:ascii="Times New Roman" w:eastAsia="Times New Roman" w:hAnsi="Times New Roman" w:cs="Times New Roman"/>
                <w:bCs/>
              </w:rPr>
              <w:t xml:space="preserve"> вже містить у якості підстави для відмови у видачі документу дозвільного характеру:</w:t>
            </w:r>
          </w:p>
          <w:p w14:paraId="41705234" w14:textId="79056D01" w:rsidR="004C35E6" w:rsidRPr="004C35E6" w:rsidRDefault="004C35E6" w:rsidP="004C35E6">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4C35E6">
              <w:rPr>
                <w:rFonts w:ascii="Times New Roman" w:eastAsia="Times New Roman" w:hAnsi="Times New Roman" w:cs="Times New Roman"/>
                <w:bCs/>
              </w:rPr>
              <w:t xml:space="preserve">подання суб'єктом господарювання </w:t>
            </w:r>
            <w:r w:rsidRPr="004C35E6">
              <w:rPr>
                <w:rFonts w:ascii="Times New Roman" w:eastAsia="Times New Roman" w:hAnsi="Times New Roman" w:cs="Times New Roman"/>
                <w:b/>
              </w:rPr>
              <w:t>неповного пакета документів</w:t>
            </w:r>
            <w:r w:rsidRPr="004C35E6">
              <w:rPr>
                <w:rFonts w:ascii="Times New Roman" w:eastAsia="Times New Roman" w:hAnsi="Times New Roman" w:cs="Times New Roman"/>
                <w:bCs/>
              </w:rPr>
              <w:t xml:space="preserve">, необхідних для одержання документа дозвільного характеру, </w:t>
            </w:r>
            <w:r w:rsidRPr="000668F8">
              <w:rPr>
                <w:rFonts w:ascii="Times New Roman" w:eastAsia="Times New Roman" w:hAnsi="Times New Roman" w:cs="Times New Roman"/>
                <w:b/>
              </w:rPr>
              <w:t>згідно із встановленим вичерпним переліком</w:t>
            </w:r>
            <w:r w:rsidRPr="004C35E6">
              <w:rPr>
                <w:rFonts w:ascii="Times New Roman" w:eastAsia="Times New Roman" w:hAnsi="Times New Roman" w:cs="Times New Roman"/>
                <w:bCs/>
              </w:rPr>
              <w:t>;</w:t>
            </w:r>
          </w:p>
          <w:p w14:paraId="3A7D4066" w14:textId="6A368BBF" w:rsidR="00162947" w:rsidRDefault="000668F8" w:rsidP="004C35E6">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4C35E6" w:rsidRPr="004C35E6">
              <w:rPr>
                <w:rFonts w:ascii="Times New Roman" w:eastAsia="Times New Roman" w:hAnsi="Times New Roman" w:cs="Times New Roman"/>
                <w:bCs/>
              </w:rPr>
              <w:t xml:space="preserve">виявлення в документах, поданих суб'єктом господарювання, </w:t>
            </w:r>
            <w:r w:rsidR="004C35E6" w:rsidRPr="000668F8">
              <w:rPr>
                <w:rFonts w:ascii="Times New Roman" w:eastAsia="Times New Roman" w:hAnsi="Times New Roman" w:cs="Times New Roman"/>
                <w:b/>
              </w:rPr>
              <w:t>недостовірних відомостей</w:t>
            </w:r>
          </w:p>
          <w:p w14:paraId="3BAD69DD" w14:textId="35F6B046" w:rsidR="004C35E6" w:rsidRDefault="000668F8" w:rsidP="004C35E6">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В свою чергу </w:t>
            </w:r>
            <w:r w:rsidRPr="005B36E9">
              <w:rPr>
                <w:rFonts w:ascii="Times New Roman" w:eastAsia="Times New Roman" w:hAnsi="Times New Roman" w:cs="Times New Roman"/>
                <w:b/>
              </w:rPr>
              <w:t>запропонована редакція п. 3) є розмитою, не відповідає принципу правової визначеності</w:t>
            </w:r>
            <w:r w:rsidR="005B36E9">
              <w:rPr>
                <w:rFonts w:ascii="Times New Roman" w:eastAsia="Times New Roman" w:hAnsi="Times New Roman" w:cs="Times New Roman"/>
                <w:b/>
                <w:lang w:val="ru-RU"/>
              </w:rPr>
              <w:t xml:space="preserve">, </w:t>
            </w:r>
            <w:r w:rsidRPr="005B36E9">
              <w:rPr>
                <w:rFonts w:ascii="Times New Roman" w:eastAsia="Times New Roman" w:hAnsi="Times New Roman" w:cs="Times New Roman"/>
                <w:b/>
              </w:rPr>
              <w:t>дублює п.1)</w:t>
            </w:r>
            <w:r w:rsidR="005B36E9">
              <w:rPr>
                <w:rFonts w:ascii="Times New Roman" w:eastAsia="Times New Roman" w:hAnsi="Times New Roman" w:cs="Times New Roman"/>
                <w:b/>
              </w:rPr>
              <w:t xml:space="preserve"> та не враховує зауваження, викладені в рішенні ДРС </w:t>
            </w:r>
            <w:r w:rsidR="005B36E9" w:rsidRPr="005B36E9">
              <w:rPr>
                <w:rFonts w:ascii="Times New Roman" w:eastAsia="Times New Roman" w:hAnsi="Times New Roman" w:cs="Times New Roman"/>
                <w:b/>
              </w:rPr>
              <w:t>від 28.12.2022 № 515</w:t>
            </w:r>
          </w:p>
          <w:p w14:paraId="0D718771" w14:textId="77777777" w:rsidR="000668F8" w:rsidRPr="00AE1189" w:rsidRDefault="000668F8" w:rsidP="004C35E6">
            <w:pPr>
              <w:shd w:val="clear" w:color="auto" w:fill="FFFFFF"/>
              <w:jc w:val="both"/>
              <w:rPr>
                <w:rFonts w:ascii="Times New Roman" w:eastAsia="Times New Roman" w:hAnsi="Times New Roman" w:cs="Times New Roman"/>
                <w:bCs/>
              </w:rPr>
            </w:pPr>
          </w:p>
          <w:p w14:paraId="75F6657A" w14:textId="203B5418"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В</w:t>
            </w:r>
            <w:r w:rsidR="004C35E6">
              <w:rPr>
                <w:rFonts w:ascii="Times New Roman" w:eastAsia="Times New Roman" w:hAnsi="Times New Roman" w:cs="Times New Roman"/>
                <w:bCs/>
              </w:rPr>
              <w:t>иключення</w:t>
            </w:r>
            <w:r w:rsidRPr="00AE1189">
              <w:rPr>
                <w:rFonts w:ascii="Times New Roman" w:eastAsia="Times New Roman" w:hAnsi="Times New Roman" w:cs="Times New Roman"/>
                <w:bCs/>
              </w:rPr>
              <w:t xml:space="preserve"> п. 5) обґрунтовується тим, що згідно до Постанови КМУ від 13.12.2017 № 989 у випадку не явки суб’єкта господарювання на громадські слухання, вони є такими що не відбулися, але це не припиняє і не скасовує процедуру громадського обговорення звіту з ОВД та саму процедуру ОВД. В означеному випадку згідно положень Постанови КМУ від 13.12.2017 № 989 </w:t>
            </w:r>
            <w:r w:rsidRPr="00AE1189">
              <w:rPr>
                <w:rFonts w:ascii="Times New Roman" w:eastAsia="Times New Roman" w:hAnsi="Times New Roman" w:cs="Times New Roman"/>
                <w:b/>
              </w:rPr>
              <w:t>призначаються та проводяться повторні громадські слухання</w:t>
            </w:r>
            <w:r w:rsidRPr="00AE1189">
              <w:rPr>
                <w:rFonts w:ascii="Times New Roman" w:eastAsia="Times New Roman" w:hAnsi="Times New Roman" w:cs="Times New Roman"/>
                <w:bCs/>
              </w:rPr>
              <w:t xml:space="preserve">. Також постанова КМУ від 13.12.2017 № 989 </w:t>
            </w:r>
            <w:r w:rsidRPr="000668F8">
              <w:rPr>
                <w:rFonts w:ascii="Times New Roman" w:eastAsia="Times New Roman" w:hAnsi="Times New Roman" w:cs="Times New Roman"/>
                <w:b/>
              </w:rPr>
              <w:t>не містить визначення поняття «порушення суб’єктом господарювання законодавства про проведення громадських слухань»</w:t>
            </w:r>
            <w:r w:rsidRPr="00AE1189">
              <w:rPr>
                <w:rFonts w:ascii="Times New Roman" w:eastAsia="Times New Roman" w:hAnsi="Times New Roman" w:cs="Times New Roman"/>
                <w:bCs/>
              </w:rPr>
              <w:t xml:space="preserve"> та вичерпного переліку того, що може вважатись порушенням вимог.</w:t>
            </w:r>
          </w:p>
        </w:tc>
      </w:tr>
      <w:tr w:rsidR="00162947" w:rsidRPr="00AE1189" w14:paraId="73805644" w14:textId="7AE52085" w:rsidTr="00162947">
        <w:trPr>
          <w:trHeight w:val="3775"/>
        </w:trPr>
        <w:tc>
          <w:tcPr>
            <w:tcW w:w="704" w:type="dxa"/>
            <w:vAlign w:val="center"/>
          </w:tcPr>
          <w:p w14:paraId="7828CAB0" w14:textId="27F14531" w:rsidR="00162947" w:rsidRPr="00AE1189" w:rsidRDefault="000668F8" w:rsidP="00A5131A">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w:t>
            </w:r>
          </w:p>
        </w:tc>
        <w:tc>
          <w:tcPr>
            <w:tcW w:w="4678" w:type="dxa"/>
          </w:tcPr>
          <w:p w14:paraId="1C4739C7" w14:textId="4267E878" w:rsidR="00162947" w:rsidRPr="000668F8" w:rsidRDefault="000668F8" w:rsidP="00A5131A">
            <w:pPr>
              <w:shd w:val="clear" w:color="auto" w:fill="FFFFFF"/>
              <w:jc w:val="both"/>
              <w:rPr>
                <w:rFonts w:ascii="Times New Roman" w:eastAsia="Times New Roman" w:hAnsi="Times New Roman" w:cs="Times New Roman"/>
                <w:b/>
                <w:bCs/>
              </w:rPr>
            </w:pPr>
            <w:r w:rsidRPr="000668F8">
              <w:rPr>
                <w:rFonts w:ascii="Times New Roman" w:eastAsia="Times New Roman" w:hAnsi="Times New Roman" w:cs="Times New Roman"/>
                <w:b/>
                <w:bCs/>
                <w:color w:val="000000"/>
              </w:rPr>
              <w:t>Відсутня</w:t>
            </w:r>
          </w:p>
        </w:tc>
        <w:tc>
          <w:tcPr>
            <w:tcW w:w="4961" w:type="dxa"/>
          </w:tcPr>
          <w:p w14:paraId="37C88A1F" w14:textId="77777777" w:rsidR="00162947" w:rsidRPr="00AE1189" w:rsidRDefault="00162947"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 xml:space="preserve">Стаття 13. </w:t>
            </w:r>
            <w:proofErr w:type="spellStart"/>
            <w:r w:rsidRPr="00AE1189">
              <w:rPr>
                <w:rFonts w:ascii="Times New Roman" w:eastAsia="Times New Roman" w:hAnsi="Times New Roman" w:cs="Times New Roman"/>
                <w:color w:val="000000"/>
              </w:rPr>
              <w:t>Післяпроектний</w:t>
            </w:r>
            <w:proofErr w:type="spellEnd"/>
            <w:r w:rsidRPr="00AE1189">
              <w:rPr>
                <w:rFonts w:ascii="Times New Roman" w:eastAsia="Times New Roman" w:hAnsi="Times New Roman" w:cs="Times New Roman"/>
                <w:color w:val="000000"/>
              </w:rPr>
              <w:t xml:space="preserve"> моніторинг</w:t>
            </w:r>
          </w:p>
          <w:p w14:paraId="236799C3" w14:textId="77777777" w:rsidR="00162947" w:rsidRPr="00AE1189" w:rsidRDefault="00162947"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p>
          <w:p w14:paraId="37D5A753" w14:textId="77777777" w:rsidR="00162947" w:rsidRPr="00AE1189" w:rsidRDefault="00162947" w:rsidP="00A5131A">
            <w:pPr>
              <w:shd w:val="clear" w:color="auto" w:fill="FFFFFF"/>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 xml:space="preserve">1. Якщо це передбачено висновком з оцінки впливу на довкілля, суб’єкт господарювання забезпечує здійснення післяпроектного моніторингу з метою виявлення будь-яких розбіжностей і відхилень у прогнозованих рівнях впливу та ефективності заходів із запобігання забрудненню довкілля та його зменшення. Порядок, строки </w:t>
            </w:r>
            <w:r w:rsidRPr="00AE1189">
              <w:rPr>
                <w:rFonts w:ascii="Times New Roman" w:eastAsia="Times New Roman" w:hAnsi="Times New Roman" w:cs="Times New Roman"/>
                <w:color w:val="FF0000"/>
              </w:rPr>
              <w:t xml:space="preserve">і </w:t>
            </w:r>
            <w:r w:rsidRPr="00AE1189">
              <w:rPr>
                <w:rFonts w:ascii="Times New Roman" w:eastAsia="Times New Roman" w:hAnsi="Times New Roman" w:cs="Times New Roman"/>
                <w:b/>
                <w:bCs/>
                <w:color w:val="FF0000"/>
              </w:rPr>
              <w:t>всі</w:t>
            </w:r>
            <w:r w:rsidRPr="00AE1189">
              <w:rPr>
                <w:rFonts w:ascii="Times New Roman" w:eastAsia="Times New Roman" w:hAnsi="Times New Roman" w:cs="Times New Roman"/>
                <w:color w:val="FF0000"/>
              </w:rPr>
              <w:t xml:space="preserve"> </w:t>
            </w:r>
            <w:r w:rsidRPr="00AE1189">
              <w:rPr>
                <w:rFonts w:ascii="Times New Roman" w:eastAsia="Times New Roman" w:hAnsi="Times New Roman" w:cs="Times New Roman"/>
                <w:color w:val="000000"/>
              </w:rPr>
              <w:t xml:space="preserve">вимоги до здійснення післяпроектного моніторингу визначаються у висновку з оцінки впливу на довкілля, </w:t>
            </w:r>
            <w:r w:rsidRPr="00AE1189">
              <w:rPr>
                <w:rFonts w:ascii="Times New Roman" w:eastAsia="Times New Roman" w:hAnsi="Times New Roman" w:cs="Times New Roman"/>
                <w:b/>
                <w:bCs/>
                <w:color w:val="FF0000"/>
              </w:rPr>
              <w:t>без необхідності розроблення додаткових заходів (планів) та їх погодження.</w:t>
            </w:r>
            <w:r w:rsidRPr="00AE1189">
              <w:rPr>
                <w:rFonts w:ascii="Times New Roman" w:eastAsia="Times New Roman" w:hAnsi="Times New Roman" w:cs="Times New Roman"/>
                <w:color w:val="000000"/>
              </w:rPr>
              <w:t xml:space="preserve"> </w:t>
            </w:r>
          </w:p>
          <w:p w14:paraId="707CF986" w14:textId="60A8691F" w:rsidR="00162947" w:rsidRPr="00AE1189" w:rsidRDefault="00162947" w:rsidP="00A5131A">
            <w:pPr>
              <w:shd w:val="clear" w:color="auto" w:fill="FFFFFF"/>
              <w:jc w:val="both"/>
              <w:rPr>
                <w:rFonts w:ascii="Times New Roman" w:eastAsia="Times New Roman" w:hAnsi="Times New Roman" w:cs="Times New Roman"/>
                <w:b/>
                <w:bCs/>
                <w:color w:val="FF0000"/>
              </w:rPr>
            </w:pPr>
            <w:r w:rsidRPr="00AE1189">
              <w:rPr>
                <w:rFonts w:ascii="Times New Roman" w:eastAsia="Times New Roman" w:hAnsi="Times New Roman" w:cs="Times New Roman"/>
                <w:b/>
                <w:bCs/>
                <w:color w:val="FF0000"/>
              </w:rPr>
              <w:t>Суб’єкт господарювання засобами реєстру подає уповноваженому територіальному органу, а у випадках, визначених частинами третьою і четвертою статті 5 цього Закону, - уповноважений центральний орган, інформацію про результати післяпроектного моніторингу.</w:t>
            </w:r>
          </w:p>
          <w:p w14:paraId="4A3C72BD" w14:textId="284E3657"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bCs/>
                <w:color w:val="FF0000"/>
              </w:rPr>
              <w:t xml:space="preserve"> Уповноважений територіальний орган,  а у випадках, визначених частинами третьою і четвертою статті 5 цього Закону, - уповноважений центральний орган, вносить зазначені відомості до Єдиного реєстру з оцінки впливу на довкілля не пізніше наступного робочого дня з дня їх надходження.</w:t>
            </w:r>
            <w:r w:rsidRPr="00AE1189">
              <w:rPr>
                <w:rFonts w:ascii="Times New Roman" w:eastAsia="Times New Roman" w:hAnsi="Times New Roman" w:cs="Times New Roman"/>
                <w:color w:val="000000"/>
              </w:rPr>
              <w:t xml:space="preserve"> За результатами післяпроектного моніторингу, за потреби, суб’єкт господарювання та уповноважений територіальний орган, а у випадках, визначених частинами третьою і четвертою статті 5 цього Закону, - уповноважений </w:t>
            </w:r>
            <w:r w:rsidRPr="00AE1189">
              <w:rPr>
                <w:rFonts w:ascii="Times New Roman" w:eastAsia="Times New Roman" w:hAnsi="Times New Roman" w:cs="Times New Roman"/>
                <w:color w:val="000000"/>
              </w:rPr>
              <w:lastRenderedPageBreak/>
              <w:t>центральний орган узгоджують вжиття додаткових заходів і дій із запобігання, уникнення, зменшення (пом’якшення), усунення, обмеження впливу господарської діяльності на довкілля.</w:t>
            </w:r>
          </w:p>
        </w:tc>
        <w:tc>
          <w:tcPr>
            <w:tcW w:w="4961" w:type="dxa"/>
          </w:tcPr>
          <w:p w14:paraId="460A7A4E" w14:textId="5E312181"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lastRenderedPageBreak/>
              <w:t>Необхідність чіткого виключення додаткових погоджувальних процедур при видачі висновку обумовлена практикою окремих уповноважених територіальних органів передбачати необхідність розроблення та погодження планів післяпроектного моніторингу, погодження яких не передбачено чинним законодавством.</w:t>
            </w:r>
          </w:p>
          <w:p w14:paraId="24C066A1" w14:textId="77777777" w:rsidR="00162947" w:rsidRPr="00AE1189" w:rsidRDefault="00162947" w:rsidP="00A5131A">
            <w:pPr>
              <w:jc w:val="both"/>
              <w:rPr>
                <w:rFonts w:ascii="Times New Roman" w:hAnsi="Times New Roman" w:cs="Times New Roman"/>
                <w:b/>
                <w:bCs/>
                <w:lang w:eastAsia="en-US"/>
              </w:rPr>
            </w:pPr>
            <w:r w:rsidRPr="00AE1189">
              <w:rPr>
                <w:rFonts w:ascii="Times New Roman" w:hAnsi="Times New Roman" w:cs="Times New Roman"/>
                <w:lang w:eastAsia="en-US"/>
              </w:rPr>
              <w:t xml:space="preserve">Фактично </w:t>
            </w:r>
            <w:r w:rsidRPr="00AE1189">
              <w:rPr>
                <w:rFonts w:ascii="Times New Roman" w:hAnsi="Times New Roman" w:cs="Times New Roman"/>
                <w:b/>
                <w:bCs/>
                <w:lang w:eastAsia="en-US"/>
              </w:rPr>
              <w:t>дозвільний орган штучно створює регуляторну процедуру – погодження плану післяпроектного моніторингу, яка містить наступні негативні наслідки:</w:t>
            </w:r>
          </w:p>
          <w:p w14:paraId="042DEF88" w14:textId="77777777" w:rsidR="00162947" w:rsidRPr="00AE1189" w:rsidRDefault="00162947" w:rsidP="00A5131A">
            <w:pPr>
              <w:numPr>
                <w:ilvl w:val="0"/>
                <w:numId w:val="1"/>
              </w:numPr>
              <w:ind w:left="0" w:firstLine="0"/>
              <w:jc w:val="both"/>
              <w:rPr>
                <w:rFonts w:ascii="Times New Roman" w:hAnsi="Times New Roman" w:cs="Times New Roman"/>
                <w:lang w:eastAsia="en-US"/>
              </w:rPr>
            </w:pPr>
            <w:r w:rsidRPr="00AE1189">
              <w:rPr>
                <w:rFonts w:ascii="Times New Roman" w:hAnsi="Times New Roman" w:cs="Times New Roman"/>
                <w:b/>
                <w:bCs/>
                <w:lang w:eastAsia="en-US"/>
              </w:rPr>
              <w:t>Затягує провадження планованої діяльності</w:t>
            </w:r>
            <w:r w:rsidRPr="00AE1189">
              <w:rPr>
                <w:rFonts w:ascii="Times New Roman" w:hAnsi="Times New Roman" w:cs="Times New Roman"/>
                <w:lang w:eastAsia="en-US"/>
              </w:rPr>
              <w:t>, оскільки після отримання дозвільного документу, підприємство змушене проходити додаткові погоджувальні процедури, не регламентовані ні по предмету, ні по часових термінах.</w:t>
            </w:r>
          </w:p>
          <w:p w14:paraId="714ADAFE" w14:textId="77777777" w:rsidR="00162947" w:rsidRPr="00AE1189" w:rsidRDefault="00162947" w:rsidP="00A5131A">
            <w:pPr>
              <w:numPr>
                <w:ilvl w:val="0"/>
                <w:numId w:val="1"/>
              </w:numPr>
              <w:ind w:left="0" w:firstLine="0"/>
              <w:jc w:val="both"/>
              <w:rPr>
                <w:rFonts w:ascii="Times New Roman" w:hAnsi="Times New Roman" w:cs="Times New Roman"/>
                <w:lang w:eastAsia="en-US"/>
              </w:rPr>
            </w:pPr>
            <w:r w:rsidRPr="00AE1189">
              <w:rPr>
                <w:rFonts w:ascii="Times New Roman" w:hAnsi="Times New Roman" w:cs="Times New Roman"/>
                <w:b/>
                <w:bCs/>
                <w:lang w:eastAsia="en-US"/>
              </w:rPr>
              <w:t>Створює непривабливий інвестиційний клімат, виключає можливості для розвитку економіки і виробництва, надходжень до бюджету та робочих місць</w:t>
            </w:r>
            <w:r w:rsidRPr="00AE1189">
              <w:rPr>
                <w:rFonts w:ascii="Times New Roman" w:hAnsi="Times New Roman" w:cs="Times New Roman"/>
                <w:lang w:eastAsia="en-US"/>
              </w:rPr>
              <w:t>.</w:t>
            </w:r>
          </w:p>
          <w:p w14:paraId="5FC03104" w14:textId="77777777" w:rsidR="00162947" w:rsidRPr="00AE1189" w:rsidRDefault="00162947" w:rsidP="00A5131A">
            <w:pPr>
              <w:numPr>
                <w:ilvl w:val="0"/>
                <w:numId w:val="1"/>
              </w:numPr>
              <w:ind w:left="0" w:firstLine="0"/>
              <w:jc w:val="both"/>
              <w:rPr>
                <w:rFonts w:ascii="Times New Roman" w:hAnsi="Times New Roman" w:cs="Times New Roman"/>
                <w:b/>
                <w:bCs/>
                <w:lang w:eastAsia="en-US"/>
              </w:rPr>
            </w:pPr>
            <w:r w:rsidRPr="00AE1189">
              <w:rPr>
                <w:rFonts w:ascii="Times New Roman" w:hAnsi="Times New Roman" w:cs="Times New Roman"/>
                <w:b/>
                <w:bCs/>
                <w:lang w:eastAsia="en-US"/>
              </w:rPr>
              <w:t xml:space="preserve">Створює переваги для недобросовісних субєктів, які уникають проходження дозвільної процедури, </w:t>
            </w:r>
          </w:p>
          <w:p w14:paraId="6B255246" w14:textId="77777777" w:rsidR="00162947" w:rsidRPr="00AE1189" w:rsidRDefault="00162947" w:rsidP="00A5131A">
            <w:pPr>
              <w:numPr>
                <w:ilvl w:val="0"/>
                <w:numId w:val="1"/>
              </w:numPr>
              <w:ind w:left="0" w:firstLine="0"/>
              <w:jc w:val="both"/>
              <w:rPr>
                <w:rFonts w:ascii="Times New Roman" w:hAnsi="Times New Roman" w:cs="Times New Roman"/>
                <w:lang w:eastAsia="en-US"/>
              </w:rPr>
            </w:pPr>
            <w:r w:rsidRPr="00AE1189">
              <w:rPr>
                <w:rFonts w:ascii="Times New Roman" w:hAnsi="Times New Roman" w:cs="Times New Roman"/>
                <w:b/>
                <w:bCs/>
                <w:lang w:eastAsia="en-US"/>
              </w:rPr>
              <w:t>Сприяє недобросовісній конкуренції та безконтрольному використанню природних ресурсів</w:t>
            </w:r>
            <w:r w:rsidRPr="00AE1189">
              <w:rPr>
                <w:rFonts w:ascii="Times New Roman" w:hAnsi="Times New Roman" w:cs="Times New Roman"/>
                <w:lang w:eastAsia="en-US"/>
              </w:rPr>
              <w:t xml:space="preserve"> суб’єктами, які уникають проходження дозвільної процедури.</w:t>
            </w:r>
          </w:p>
          <w:p w14:paraId="315135C6" w14:textId="11D22FE2"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hAnsi="Times New Roman" w:cs="Times New Roman"/>
                <w:b/>
                <w:bCs/>
                <w:lang w:eastAsia="en-US"/>
              </w:rPr>
              <w:t>Формує умови для корупції.</w:t>
            </w:r>
          </w:p>
          <w:p w14:paraId="554A3899" w14:textId="77777777" w:rsidR="00162947" w:rsidRPr="00AE1189" w:rsidRDefault="00162947" w:rsidP="00A5131A">
            <w:pPr>
              <w:shd w:val="clear" w:color="auto" w:fill="FFFFFF"/>
              <w:jc w:val="both"/>
              <w:rPr>
                <w:rFonts w:ascii="Times New Roman" w:eastAsia="Times New Roman" w:hAnsi="Times New Roman" w:cs="Times New Roman"/>
                <w:bCs/>
              </w:rPr>
            </w:pPr>
          </w:p>
          <w:p w14:paraId="4266063C" w14:textId="1B02CB9E"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 xml:space="preserve">Інформування про результати післяпроектного моніторингу забезпечує реалізацію в Україні Конвенції про доступ до інформації, участь </w:t>
            </w:r>
            <w:r w:rsidRPr="00AE1189">
              <w:rPr>
                <w:rFonts w:ascii="Times New Roman" w:eastAsia="Times New Roman" w:hAnsi="Times New Roman" w:cs="Times New Roman"/>
                <w:bCs/>
              </w:rPr>
              <w:lastRenderedPageBreak/>
              <w:t>громадськості в процесі прийняття рішень та доступ до правосуддя з питань, що стосуються довкілля (</w:t>
            </w:r>
            <w:proofErr w:type="spellStart"/>
            <w:r w:rsidRPr="00AE1189">
              <w:rPr>
                <w:rFonts w:ascii="Times New Roman" w:eastAsia="Times New Roman" w:hAnsi="Times New Roman" w:cs="Times New Roman"/>
                <w:bCs/>
              </w:rPr>
              <w:t>Оргуська</w:t>
            </w:r>
            <w:proofErr w:type="spellEnd"/>
            <w:r w:rsidRPr="00AE1189">
              <w:rPr>
                <w:rFonts w:ascii="Times New Roman" w:eastAsia="Times New Roman" w:hAnsi="Times New Roman" w:cs="Times New Roman"/>
                <w:bCs/>
              </w:rPr>
              <w:t xml:space="preserve"> Конвенція).</w:t>
            </w:r>
          </w:p>
          <w:p w14:paraId="5F0A0230" w14:textId="77777777"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На даний час інформування здійснюється відповідно до періодичності, вказаної у висновках з оцінки впливу на довкілля, шляхом направлення звітів до органів місцевого самоврядування, на території яких здійснюється діяльність.</w:t>
            </w:r>
          </w:p>
          <w:p w14:paraId="1E02D5D7" w14:textId="77777777"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 xml:space="preserve">При цьому, при наявності Єдиного реєстру з оцінки впливу на довкілля, було б </w:t>
            </w:r>
            <w:proofErr w:type="spellStart"/>
            <w:r w:rsidRPr="00AE1189">
              <w:rPr>
                <w:rFonts w:ascii="Times New Roman" w:eastAsia="Times New Roman" w:hAnsi="Times New Roman" w:cs="Times New Roman"/>
                <w:bCs/>
              </w:rPr>
              <w:t>логічно</w:t>
            </w:r>
            <w:proofErr w:type="spellEnd"/>
            <w:r w:rsidRPr="00AE1189">
              <w:rPr>
                <w:rFonts w:ascii="Times New Roman" w:eastAsia="Times New Roman" w:hAnsi="Times New Roman" w:cs="Times New Roman"/>
                <w:bCs/>
              </w:rPr>
              <w:t xml:space="preserve"> надати суб’єкту господарювання можливість розміщати звіти щодо післяпроектного моніторингу в реєстрі. Такий інструментарій дає можливість забезпечити:</w:t>
            </w:r>
          </w:p>
          <w:p w14:paraId="6DD249E2" w14:textId="77777777"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1.</w:t>
            </w:r>
            <w:r w:rsidRPr="00AE1189">
              <w:rPr>
                <w:rFonts w:ascii="Times New Roman" w:eastAsia="Times New Roman" w:hAnsi="Times New Roman" w:cs="Times New Roman"/>
                <w:bCs/>
              </w:rPr>
              <w:tab/>
              <w:t>Централізованого накопичення, оброблення, систематизації та зберігання інформації та документів щодо планованої діяльності, що створюються у процесі здійснення оцінки впливу на довкілля.</w:t>
            </w:r>
          </w:p>
          <w:p w14:paraId="37694675" w14:textId="77777777"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2.</w:t>
            </w:r>
            <w:r w:rsidRPr="00AE1189">
              <w:rPr>
                <w:rFonts w:ascii="Times New Roman" w:eastAsia="Times New Roman" w:hAnsi="Times New Roman" w:cs="Times New Roman"/>
                <w:bCs/>
              </w:rPr>
              <w:tab/>
              <w:t>Виявлення будь-яких розбіжностей і відхилень у прогнозованих рівнях впливу та ефективності заходів із запобігання забрудненню довкілля та його зменшення,</w:t>
            </w:r>
            <w:r w:rsidRPr="00AE1189">
              <w:rPr>
                <w:rFonts w:ascii="Times New Roman" w:eastAsia="Times New Roman" w:hAnsi="Times New Roman" w:cs="Times New Roman"/>
                <w:b/>
              </w:rPr>
              <w:t xml:space="preserve"> </w:t>
            </w:r>
            <w:r w:rsidRPr="00AE1189">
              <w:rPr>
                <w:rFonts w:ascii="Times New Roman" w:eastAsia="Times New Roman" w:hAnsi="Times New Roman" w:cs="Times New Roman"/>
                <w:bCs/>
              </w:rPr>
              <w:t>за результатами післяпроектного моніторингу.</w:t>
            </w:r>
          </w:p>
          <w:p w14:paraId="431D97CF" w14:textId="5CC0CAF2" w:rsidR="00162947" w:rsidRPr="00AE1189" w:rsidRDefault="00162947"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Cs/>
              </w:rPr>
              <w:t>3.</w:t>
            </w:r>
            <w:r w:rsidRPr="00AE1189">
              <w:rPr>
                <w:rFonts w:ascii="Times New Roman" w:eastAsia="Times New Roman" w:hAnsi="Times New Roman" w:cs="Times New Roman"/>
                <w:bCs/>
              </w:rPr>
              <w:tab/>
              <w:t>Доступу усіх заінтересованих сторін (дозвільних, контролюючих органів, громадськості) через веб-сайт Реєстру до інформації та документів щодо планованої діяльності, що створюються у процесі здійснення оцінки впливу на довкілля, та під час її впровадження.</w:t>
            </w:r>
          </w:p>
        </w:tc>
      </w:tr>
      <w:tr w:rsidR="00162947" w:rsidRPr="00AE1189" w14:paraId="303C72B6" w14:textId="77777777" w:rsidTr="00162947">
        <w:trPr>
          <w:trHeight w:val="3271"/>
        </w:trPr>
        <w:tc>
          <w:tcPr>
            <w:tcW w:w="704" w:type="dxa"/>
            <w:vAlign w:val="center"/>
          </w:tcPr>
          <w:p w14:paraId="7A29538C" w14:textId="63D750A7" w:rsidR="00162947" w:rsidRPr="00AE1189" w:rsidRDefault="000668F8" w:rsidP="00A5131A">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w:t>
            </w:r>
          </w:p>
        </w:tc>
        <w:tc>
          <w:tcPr>
            <w:tcW w:w="4678" w:type="dxa"/>
          </w:tcPr>
          <w:p w14:paraId="51D07FFA" w14:textId="4FF4B750" w:rsidR="00162947" w:rsidRPr="00AE1189" w:rsidRDefault="00162947" w:rsidP="00A5131A">
            <w:pPr>
              <w:shd w:val="clear" w:color="auto" w:fill="FFFFFF"/>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Стаття 17. Прикінцеві та перехідні положення</w:t>
            </w:r>
          </w:p>
          <w:p w14:paraId="38607A3A" w14:textId="77777777" w:rsidR="00162947" w:rsidRPr="00AE1189" w:rsidRDefault="00162947" w:rsidP="00A5131A">
            <w:pPr>
              <w:shd w:val="clear" w:color="auto" w:fill="FFFFFF"/>
              <w:jc w:val="both"/>
              <w:rPr>
                <w:rFonts w:ascii="Times New Roman" w:eastAsia="Times New Roman" w:hAnsi="Times New Roman" w:cs="Times New Roman"/>
                <w:color w:val="000000"/>
              </w:rPr>
            </w:pPr>
          </w:p>
          <w:p w14:paraId="395212DE" w14:textId="2B06EB6F" w:rsidR="00162947" w:rsidRPr="00AE1189" w:rsidRDefault="00162947" w:rsidP="00A5131A">
            <w:pPr>
              <w:shd w:val="clear" w:color="auto" w:fill="FFFFFF"/>
              <w:jc w:val="both"/>
              <w:rPr>
                <w:rFonts w:ascii="Times New Roman" w:eastAsia="Times New Roman" w:hAnsi="Times New Roman" w:cs="Times New Roman"/>
                <w:b/>
                <w:bCs/>
                <w:color w:val="000000"/>
              </w:rPr>
            </w:pPr>
            <w:r w:rsidRPr="00AE1189">
              <w:rPr>
                <w:rFonts w:ascii="Times New Roman" w:eastAsia="Times New Roman" w:hAnsi="Times New Roman" w:cs="Times New Roman"/>
                <w:b/>
                <w:bCs/>
                <w:color w:val="000000"/>
              </w:rPr>
              <w:t>2-4 відсутня</w:t>
            </w:r>
          </w:p>
        </w:tc>
        <w:tc>
          <w:tcPr>
            <w:tcW w:w="4961" w:type="dxa"/>
          </w:tcPr>
          <w:p w14:paraId="29CEF71E" w14:textId="76820DC1" w:rsidR="00162947" w:rsidRPr="00AE1189" w:rsidRDefault="00162947"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Стаття 17. Прикінцеві та перехідні положення</w:t>
            </w:r>
          </w:p>
          <w:p w14:paraId="7656A923" w14:textId="77777777" w:rsidR="00162947" w:rsidRPr="00AE1189" w:rsidRDefault="00162947"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p>
          <w:p w14:paraId="1CAA9216" w14:textId="683DE6DF" w:rsidR="00162947" w:rsidRPr="00AE1189" w:rsidRDefault="00162947"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rPr>
            </w:pPr>
            <w:r w:rsidRPr="00AE1189">
              <w:rPr>
                <w:rFonts w:ascii="Times New Roman" w:eastAsia="Times New Roman" w:hAnsi="Times New Roman" w:cs="Times New Roman"/>
                <w:b/>
                <w:bCs/>
                <w:color w:val="000000"/>
              </w:rPr>
              <w:t>2-4 Тимчасово, на період дії воєнного стану у зв'язку з військовою агресією Російської Федерації проти України, введеного Указом Президента України "Про введення воєнного стану в Україні" від 24.02.2022 року № 64/2022, призупинити обов’язковість виконання п. 1 статті 13 Закону України «Про оцінку впливу на довкілля» в частині післяпроектного моніторингу, та не вважати нездійснення післяпроектного моніторингу порушенням законодавства  про оцінку впливу на довкілля (визначені ст. 15 Закону України «Про оцінку впливу на довкілля») та не застосовувати заходи впливу і притягнення до відповідальності, визначені ст.  15 Закону України «Про оцінку впливу на довкілля», до суб’єктів господарювання за таке невиконання протягом дії воєнного стану та протягом 3-х місяців після його припинення</w:t>
            </w:r>
          </w:p>
        </w:tc>
        <w:tc>
          <w:tcPr>
            <w:tcW w:w="4961" w:type="dxa"/>
          </w:tcPr>
          <w:p w14:paraId="40054A89" w14:textId="19AA1B61"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На територіях, на яких ведуться чи велися бойові дії, окупованих територіях та прилеглих до них здійснення післяпроектного моніторингу є взагалі не можливим. Навіть за умови його проведення, отримані дані будуть не репрезентативними, оскільки проведені під час вибухів та техногенних подій надзвичайного характеру.</w:t>
            </w:r>
          </w:p>
          <w:p w14:paraId="26094136" w14:textId="77777777"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В свою чергу на території України, де відсутні активні бойові дії, на підставі листа Торгово-промислової палати України від 28.02.2022 № 2024/02.0-7.1, згідно якого військова агресія Російської Федерації проти України, визнана форс-мажором (обставиною непереборної сили), виконавці послуг з післяпроектного моніторингу відмовляються їх здійснювати протягом періоду військового часу.</w:t>
            </w:r>
          </w:p>
          <w:p w14:paraId="56B31BC0" w14:textId="4C178D7B" w:rsidR="00162947" w:rsidRPr="00AE1189" w:rsidRDefault="00162947"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Лабораторні дослідження також ускладненні можливістю логістики по території України, дотримання вимог безпеки під час «повітряних тривог», перевірки на блокпостах, тощо.</w:t>
            </w:r>
          </w:p>
        </w:tc>
      </w:tr>
    </w:tbl>
    <w:p w14:paraId="13F88525" w14:textId="6FF53207" w:rsidR="00524EFB" w:rsidRPr="00AE1189" w:rsidRDefault="00524EFB" w:rsidP="00AE1189">
      <w:pPr>
        <w:spacing w:after="0" w:line="240" w:lineRule="auto"/>
        <w:ind w:right="-1134"/>
        <w:rPr>
          <w:rFonts w:ascii="Times New Roman" w:eastAsia="Times New Roman" w:hAnsi="Times New Roman" w:cs="Times New Roman"/>
        </w:rPr>
      </w:pPr>
    </w:p>
    <w:p w14:paraId="2C8D25AA" w14:textId="3DEAAC9F" w:rsidR="00D9782F" w:rsidRPr="00AE1189" w:rsidRDefault="00D9782F" w:rsidP="00AE1189">
      <w:pPr>
        <w:spacing w:after="0" w:line="240" w:lineRule="auto"/>
        <w:ind w:right="-1134"/>
        <w:rPr>
          <w:rFonts w:ascii="Times New Roman" w:eastAsia="Times New Roman" w:hAnsi="Times New Roman" w:cs="Times New Roman"/>
        </w:rPr>
      </w:pPr>
    </w:p>
    <w:sectPr w:rsidR="00D9782F" w:rsidRPr="00AE1189">
      <w:headerReference w:type="even" r:id="rId7"/>
      <w:headerReference w:type="default" r:id="rId8"/>
      <w:pgSz w:w="16838" w:h="11906" w:orient="landscape"/>
      <w:pgMar w:top="567" w:right="1134" w:bottom="1701"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D44E" w14:textId="77777777" w:rsidR="00F669D8" w:rsidRDefault="00F669D8">
      <w:pPr>
        <w:spacing w:after="0" w:line="240" w:lineRule="auto"/>
      </w:pPr>
      <w:r>
        <w:separator/>
      </w:r>
    </w:p>
  </w:endnote>
  <w:endnote w:type="continuationSeparator" w:id="0">
    <w:p w14:paraId="05C46963" w14:textId="77777777" w:rsidR="00F669D8" w:rsidRDefault="00F6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97EB" w14:textId="77777777" w:rsidR="00F669D8" w:rsidRDefault="00F669D8">
      <w:pPr>
        <w:spacing w:after="0" w:line="240" w:lineRule="auto"/>
      </w:pPr>
      <w:r>
        <w:separator/>
      </w:r>
    </w:p>
  </w:footnote>
  <w:footnote w:type="continuationSeparator" w:id="0">
    <w:p w14:paraId="52987392" w14:textId="77777777" w:rsidR="00F669D8" w:rsidRDefault="00F66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6741" w14:textId="22DC8297" w:rsidR="00524EFB" w:rsidRDefault="006C7CE8">
    <w:pPr>
      <w:jc w:val="center"/>
    </w:pPr>
    <w:r>
      <w:fldChar w:fldCharType="begin"/>
    </w:r>
    <w:r>
      <w:instrText>PAGE</w:instrText>
    </w:r>
    <w:r>
      <w:fldChar w:fldCharType="separate"/>
    </w:r>
    <w:r w:rsidR="000668F8">
      <w:rPr>
        <w:noProof/>
      </w:rPr>
      <w:t>2</w:t>
    </w:r>
    <w:r>
      <w:fldChar w:fldCharType="end"/>
    </w:r>
  </w:p>
  <w:p w14:paraId="7E34EF58" w14:textId="77777777" w:rsidR="00524EFB" w:rsidRDefault="00524E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A3E8" w14:textId="77777777" w:rsidR="00524EFB" w:rsidRDefault="006C7CE8">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65E19">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498F"/>
    <w:multiLevelType w:val="hybridMultilevel"/>
    <w:tmpl w:val="F90E2620"/>
    <w:lvl w:ilvl="0" w:tplc="93709F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9977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FB"/>
    <w:rsid w:val="00026B97"/>
    <w:rsid w:val="00060523"/>
    <w:rsid w:val="000668F8"/>
    <w:rsid w:val="000B030B"/>
    <w:rsid w:val="000F0BA9"/>
    <w:rsid w:val="00101AF8"/>
    <w:rsid w:val="00137639"/>
    <w:rsid w:val="00162947"/>
    <w:rsid w:val="0017215C"/>
    <w:rsid w:val="00181A31"/>
    <w:rsid w:val="00182FFE"/>
    <w:rsid w:val="001B524A"/>
    <w:rsid w:val="001B52EE"/>
    <w:rsid w:val="001E42F8"/>
    <w:rsid w:val="001F1621"/>
    <w:rsid w:val="001F4E96"/>
    <w:rsid w:val="00205DCD"/>
    <w:rsid w:val="002164E0"/>
    <w:rsid w:val="00223E70"/>
    <w:rsid w:val="00276AB5"/>
    <w:rsid w:val="00287C90"/>
    <w:rsid w:val="003144CF"/>
    <w:rsid w:val="00331A2C"/>
    <w:rsid w:val="00346D46"/>
    <w:rsid w:val="00361EC9"/>
    <w:rsid w:val="00372D9F"/>
    <w:rsid w:val="00380AD4"/>
    <w:rsid w:val="003C3A9F"/>
    <w:rsid w:val="003E3523"/>
    <w:rsid w:val="00412262"/>
    <w:rsid w:val="00412A04"/>
    <w:rsid w:val="00414761"/>
    <w:rsid w:val="00447178"/>
    <w:rsid w:val="00465E19"/>
    <w:rsid w:val="00467505"/>
    <w:rsid w:val="0047401B"/>
    <w:rsid w:val="004A41D2"/>
    <w:rsid w:val="004B15BD"/>
    <w:rsid w:val="004B6DE5"/>
    <w:rsid w:val="004C35E6"/>
    <w:rsid w:val="004F5CB1"/>
    <w:rsid w:val="004F7258"/>
    <w:rsid w:val="005052DB"/>
    <w:rsid w:val="0051415F"/>
    <w:rsid w:val="00524EFB"/>
    <w:rsid w:val="00551763"/>
    <w:rsid w:val="005B36E9"/>
    <w:rsid w:val="005C48F8"/>
    <w:rsid w:val="00634954"/>
    <w:rsid w:val="00666AAE"/>
    <w:rsid w:val="00666F9E"/>
    <w:rsid w:val="00667DA9"/>
    <w:rsid w:val="00680C1C"/>
    <w:rsid w:val="0069394C"/>
    <w:rsid w:val="006B4740"/>
    <w:rsid w:val="006C7CE8"/>
    <w:rsid w:val="007C197D"/>
    <w:rsid w:val="007F350B"/>
    <w:rsid w:val="008411C2"/>
    <w:rsid w:val="00845E44"/>
    <w:rsid w:val="0085002B"/>
    <w:rsid w:val="00853331"/>
    <w:rsid w:val="008621FA"/>
    <w:rsid w:val="00865C64"/>
    <w:rsid w:val="00873675"/>
    <w:rsid w:val="00942A98"/>
    <w:rsid w:val="0096244E"/>
    <w:rsid w:val="00986AD9"/>
    <w:rsid w:val="009B7EBC"/>
    <w:rsid w:val="009C533C"/>
    <w:rsid w:val="00A5131A"/>
    <w:rsid w:val="00A51554"/>
    <w:rsid w:val="00A54252"/>
    <w:rsid w:val="00A66433"/>
    <w:rsid w:val="00A713DC"/>
    <w:rsid w:val="00A8513B"/>
    <w:rsid w:val="00AC4236"/>
    <w:rsid w:val="00AC561C"/>
    <w:rsid w:val="00AE1189"/>
    <w:rsid w:val="00B03C1C"/>
    <w:rsid w:val="00B4680D"/>
    <w:rsid w:val="00B60D76"/>
    <w:rsid w:val="00B61424"/>
    <w:rsid w:val="00BB1B1D"/>
    <w:rsid w:val="00C25494"/>
    <w:rsid w:val="00C2674B"/>
    <w:rsid w:val="00C55F13"/>
    <w:rsid w:val="00C60A7C"/>
    <w:rsid w:val="00C64B91"/>
    <w:rsid w:val="00C77B0B"/>
    <w:rsid w:val="00CA5265"/>
    <w:rsid w:val="00CB27BD"/>
    <w:rsid w:val="00D1615C"/>
    <w:rsid w:val="00D61596"/>
    <w:rsid w:val="00D6179B"/>
    <w:rsid w:val="00D740EC"/>
    <w:rsid w:val="00D84707"/>
    <w:rsid w:val="00D9782F"/>
    <w:rsid w:val="00DA1B75"/>
    <w:rsid w:val="00DA1BF9"/>
    <w:rsid w:val="00DB4754"/>
    <w:rsid w:val="00DC4458"/>
    <w:rsid w:val="00DD0E00"/>
    <w:rsid w:val="00E204D8"/>
    <w:rsid w:val="00E233A4"/>
    <w:rsid w:val="00E45234"/>
    <w:rsid w:val="00E737FA"/>
    <w:rsid w:val="00EF50FF"/>
    <w:rsid w:val="00F669D8"/>
    <w:rsid w:val="00F6739A"/>
    <w:rsid w:val="00F71748"/>
    <w:rsid w:val="00F93F97"/>
    <w:rsid w:val="00FB1D8D"/>
    <w:rsid w:val="00FE66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F58F"/>
  <w15:docId w15:val="{D1D37AC7-3A72-4713-9514-8F97B471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C90"/>
  </w:style>
  <w:style w:type="paragraph" w:styleId="1">
    <w:name w:val="heading 1"/>
    <w:basedOn w:val="a"/>
    <w:next w:val="a"/>
    <w:uiPriority w:val="9"/>
    <w:qFormat/>
    <w:pPr>
      <w:keepNext/>
      <w:keepLines/>
      <w:spacing w:before="480" w:after="0"/>
      <w:outlineLvl w:val="0"/>
    </w:pPr>
    <w:rPr>
      <w:b/>
      <w:color w:val="2E75B5"/>
      <w:sz w:val="28"/>
      <w:szCs w:val="28"/>
    </w:rPr>
  </w:style>
  <w:style w:type="paragraph" w:styleId="2">
    <w:name w:val="heading 2"/>
    <w:basedOn w:val="a"/>
    <w:next w:val="a"/>
    <w:uiPriority w:val="9"/>
    <w:semiHidden/>
    <w:unhideWhenUsed/>
    <w:qFormat/>
    <w:pPr>
      <w:keepNext/>
      <w:keepLines/>
      <w:spacing w:before="200" w:after="0"/>
      <w:outlineLvl w:val="1"/>
    </w:pPr>
    <w:rPr>
      <w:b/>
      <w:color w:val="5B9BD5"/>
      <w:sz w:val="26"/>
      <w:szCs w:val="26"/>
    </w:rPr>
  </w:style>
  <w:style w:type="paragraph" w:styleId="3">
    <w:name w:val="heading 3"/>
    <w:basedOn w:val="a"/>
    <w:next w:val="a"/>
    <w:uiPriority w:val="9"/>
    <w:semiHidden/>
    <w:unhideWhenUsed/>
    <w:qFormat/>
    <w:pPr>
      <w:keepNext/>
      <w:keepLines/>
      <w:spacing w:before="200" w:after="0"/>
      <w:outlineLvl w:val="2"/>
    </w:pPr>
    <w:rPr>
      <w:rFonts w:ascii="Cambria" w:eastAsia="Cambria" w:hAnsi="Cambria" w:cs="Cambria"/>
      <w:b/>
      <w:color w:val="4F81BD"/>
    </w:rPr>
  </w:style>
  <w:style w:type="paragraph" w:styleId="4">
    <w:name w:val="heading 4"/>
    <w:basedOn w:val="a"/>
    <w:next w:val="a"/>
    <w:uiPriority w:val="9"/>
    <w:semiHidden/>
    <w:unhideWhenUsed/>
    <w:qFormat/>
    <w:pPr>
      <w:widowControl w:val="0"/>
      <w:spacing w:after="0" w:line="240" w:lineRule="auto"/>
      <w:ind w:left="236"/>
      <w:jc w:val="both"/>
      <w:outlineLvl w:val="3"/>
    </w:pPr>
    <w:rPr>
      <w:rFonts w:ascii="Trebuchet MS" w:eastAsia="Trebuchet MS" w:hAnsi="Trebuchet MS" w:cs="Trebuchet MS"/>
      <w:b/>
      <w:i/>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customStyle="1" w:styleId="a9">
    <w:name w:val="Основной текст письма"/>
    <w:basedOn w:val="a"/>
    <w:autoRedefine/>
    <w:rsid w:val="00D9782F"/>
    <w:pPr>
      <w:tabs>
        <w:tab w:val="left" w:pos="567"/>
      </w:tabs>
      <w:spacing w:after="0" w:line="240" w:lineRule="auto"/>
      <w:jc w:val="both"/>
    </w:pPr>
    <w:rPr>
      <w:rFonts w:ascii="Times New Roman" w:eastAsia="Times New Roman" w:hAnsi="Times New Roman" w:cs="Times New Roman"/>
      <w:b/>
      <w:sz w:val="28"/>
      <w:szCs w:val="20"/>
      <w:lang w:eastAsia="ru-RU"/>
    </w:rPr>
  </w:style>
  <w:style w:type="paragraph" w:styleId="aa">
    <w:name w:val="List Paragraph"/>
    <w:basedOn w:val="a"/>
    <w:uiPriority w:val="34"/>
    <w:qFormat/>
    <w:rsid w:val="00B4680D"/>
    <w:pPr>
      <w:ind w:left="720"/>
      <w:contextualSpacing/>
    </w:pPr>
  </w:style>
  <w:style w:type="character" w:styleId="ab">
    <w:name w:val="Hyperlink"/>
    <w:basedOn w:val="a0"/>
    <w:uiPriority w:val="99"/>
    <w:semiHidden/>
    <w:unhideWhenUsed/>
    <w:rsid w:val="00172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10</Pages>
  <Words>3342</Words>
  <Characters>19055</Characters>
  <Application>Microsoft Office Word</Application>
  <DocSecurity>0</DocSecurity>
  <Lines>158</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ШИМКУС Марина Олександрівна</dc:creator>
  <cp:lastModifiedBy>Khomich Liudmyla - Хоміч Людмила Вікторівна</cp:lastModifiedBy>
  <cp:revision>16</cp:revision>
  <dcterms:created xsi:type="dcterms:W3CDTF">2022-08-30T13:07:00Z</dcterms:created>
  <dcterms:modified xsi:type="dcterms:W3CDTF">2023-01-12T12:31:00Z</dcterms:modified>
</cp:coreProperties>
</file>