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A4FB3" w14:textId="54478E39" w:rsidR="00214B02" w:rsidRPr="003A617D" w:rsidRDefault="00214B02" w:rsidP="00214B02">
      <w:pPr>
        <w:ind w:left="-1701" w:right="-709"/>
        <w:rPr>
          <w:lang w:val="uk-UA"/>
        </w:rPr>
      </w:pPr>
    </w:p>
    <w:tbl>
      <w:tblPr>
        <w:tblpPr w:leftFromText="180" w:rightFromText="180" w:vertAnchor="text" w:horzAnchor="margin" w:tblpX="-426" w:tblpY="70"/>
        <w:tblW w:w="10773" w:type="dxa"/>
        <w:tblLook w:val="04A0" w:firstRow="1" w:lastRow="0" w:firstColumn="1" w:lastColumn="0" w:noHBand="0" w:noVBand="1"/>
      </w:tblPr>
      <w:tblGrid>
        <w:gridCol w:w="4962"/>
        <w:gridCol w:w="5811"/>
      </w:tblGrid>
      <w:tr w:rsidR="002D0C23" w:rsidRPr="003A617D" w14:paraId="5F074992" w14:textId="77777777" w:rsidTr="001711F1">
        <w:trPr>
          <w:trHeight w:val="1270"/>
        </w:trPr>
        <w:tc>
          <w:tcPr>
            <w:tcW w:w="4962" w:type="dxa"/>
            <w:shd w:val="clear" w:color="auto" w:fill="auto"/>
          </w:tcPr>
          <w:p w14:paraId="36304FD5" w14:textId="77777777" w:rsidR="00214B02" w:rsidRPr="003A617D" w:rsidRDefault="00214B02" w:rsidP="001711F1">
            <w:pPr>
              <w:spacing w:after="0" w:line="360" w:lineRule="auto"/>
              <w:ind w:right="-755"/>
              <w:rPr>
                <w:rFonts w:ascii="Times New Roman" w:eastAsia="Times New Roman" w:hAnsi="Times New Roman"/>
                <w:b/>
                <w:bCs/>
                <w:sz w:val="24"/>
                <w:szCs w:val="24"/>
                <w:lang w:val="uk-UA" w:eastAsia="ru-RU"/>
              </w:rPr>
            </w:pPr>
          </w:p>
          <w:p w14:paraId="767374FE" w14:textId="3AF81926" w:rsidR="00214B02" w:rsidRDefault="00781FB3" w:rsidP="00781FB3">
            <w:pPr>
              <w:spacing w:after="0" w:line="360" w:lineRule="auto"/>
              <w:ind w:right="-755"/>
              <w:jc w:val="both"/>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ФОРМА</w:t>
            </w:r>
          </w:p>
          <w:p w14:paraId="50E6FE8D" w14:textId="77777777" w:rsidR="00781FB3" w:rsidRPr="003A617D" w:rsidRDefault="00781FB3" w:rsidP="00781FB3">
            <w:pPr>
              <w:spacing w:after="0" w:line="360" w:lineRule="auto"/>
              <w:ind w:right="-755"/>
              <w:jc w:val="both"/>
              <w:rPr>
                <w:rFonts w:ascii="Times New Roman" w:eastAsia="Times New Roman" w:hAnsi="Times New Roman"/>
                <w:b/>
                <w:bCs/>
                <w:sz w:val="24"/>
                <w:szCs w:val="24"/>
                <w:lang w:val="uk-UA" w:eastAsia="ru-RU"/>
              </w:rPr>
            </w:pPr>
          </w:p>
          <w:p w14:paraId="465C3394" w14:textId="76541194" w:rsidR="00214B02" w:rsidRPr="003A617D" w:rsidRDefault="005437CD" w:rsidP="001711F1">
            <w:pPr>
              <w:spacing w:after="0" w:line="360" w:lineRule="auto"/>
              <w:ind w:right="-755"/>
              <w:rPr>
                <w:rFonts w:ascii="Times New Roman" w:hAnsi="Times New Roman"/>
                <w:lang w:val="uk-UA"/>
              </w:rPr>
            </w:pPr>
            <w:proofErr w:type="spellStart"/>
            <w:r w:rsidRPr="003A617D">
              <w:rPr>
                <w:rFonts w:ascii="Times New Roman" w:eastAsia="Times New Roman" w:hAnsi="Times New Roman"/>
                <w:b/>
                <w:bCs/>
                <w:sz w:val="24"/>
                <w:szCs w:val="24"/>
                <w:lang w:val="uk-UA" w:eastAsia="ru-RU"/>
              </w:rPr>
              <w:t>Вих</w:t>
            </w:r>
            <w:proofErr w:type="spellEnd"/>
            <w:r w:rsidRPr="003A617D">
              <w:rPr>
                <w:rFonts w:ascii="Times New Roman" w:eastAsia="Times New Roman" w:hAnsi="Times New Roman"/>
                <w:b/>
                <w:bCs/>
                <w:sz w:val="24"/>
                <w:szCs w:val="24"/>
                <w:lang w:val="uk-UA" w:eastAsia="ru-RU"/>
              </w:rPr>
              <w:t>.№</w:t>
            </w:r>
            <w:r w:rsidR="00A842E5">
              <w:rPr>
                <w:rFonts w:ascii="Times New Roman" w:eastAsia="Times New Roman" w:hAnsi="Times New Roman"/>
                <w:b/>
                <w:bCs/>
                <w:sz w:val="24"/>
                <w:szCs w:val="24"/>
                <w:lang w:val="uk-UA" w:eastAsia="ru-RU"/>
              </w:rPr>
              <w:t>_____</w:t>
            </w:r>
            <w:r w:rsidRPr="003A617D">
              <w:rPr>
                <w:rFonts w:ascii="Times New Roman" w:eastAsia="Times New Roman" w:hAnsi="Times New Roman"/>
                <w:b/>
                <w:bCs/>
                <w:sz w:val="24"/>
                <w:szCs w:val="24"/>
                <w:lang w:val="uk-UA" w:eastAsia="ru-RU"/>
              </w:rPr>
              <w:t xml:space="preserve">/24 від </w:t>
            </w:r>
            <w:r w:rsidR="00A842E5">
              <w:rPr>
                <w:rFonts w:ascii="Times New Roman" w:eastAsia="Times New Roman" w:hAnsi="Times New Roman"/>
                <w:b/>
                <w:bCs/>
                <w:sz w:val="24"/>
                <w:szCs w:val="24"/>
                <w:lang w:val="uk-UA" w:eastAsia="ru-RU"/>
              </w:rPr>
              <w:t>_____</w:t>
            </w:r>
            <w:r w:rsidR="00214B02" w:rsidRPr="003A617D">
              <w:rPr>
                <w:rFonts w:ascii="Times New Roman" w:eastAsia="Times New Roman" w:hAnsi="Times New Roman"/>
                <w:b/>
                <w:bCs/>
                <w:sz w:val="24"/>
                <w:szCs w:val="24"/>
                <w:lang w:val="uk-UA" w:eastAsia="ru-RU"/>
              </w:rPr>
              <w:t>.2024 р.</w:t>
            </w:r>
          </w:p>
        </w:tc>
        <w:tc>
          <w:tcPr>
            <w:tcW w:w="5811" w:type="dxa"/>
            <w:shd w:val="clear" w:color="auto" w:fill="auto"/>
          </w:tcPr>
          <w:p w14:paraId="5A337F9E" w14:textId="77777777" w:rsidR="00214B02" w:rsidRPr="003A617D" w:rsidRDefault="00214B02" w:rsidP="001711F1">
            <w:pPr>
              <w:spacing w:after="0" w:line="240" w:lineRule="auto"/>
              <w:ind w:right="142"/>
              <w:rPr>
                <w:rFonts w:ascii="Times New Roman" w:eastAsia="Times New Roman" w:hAnsi="Times New Roman"/>
                <w:b/>
                <w:bCs/>
                <w:sz w:val="24"/>
                <w:szCs w:val="24"/>
                <w:lang w:val="uk-UA" w:eastAsia="ru-RU"/>
              </w:rPr>
            </w:pPr>
          </w:p>
          <w:p w14:paraId="04B3BBD9" w14:textId="77777777" w:rsidR="00214B02" w:rsidRPr="003A617D" w:rsidRDefault="00214B02" w:rsidP="001711F1">
            <w:pPr>
              <w:spacing w:after="0" w:line="240" w:lineRule="auto"/>
              <w:ind w:right="142"/>
              <w:rPr>
                <w:rFonts w:ascii="Times New Roman" w:eastAsia="Times New Roman" w:hAnsi="Times New Roman"/>
                <w:b/>
                <w:bCs/>
                <w:sz w:val="24"/>
                <w:szCs w:val="24"/>
                <w:lang w:val="uk-UA" w:eastAsia="ru-RU"/>
              </w:rPr>
            </w:pPr>
          </w:p>
          <w:p w14:paraId="7E3A3970" w14:textId="77777777" w:rsidR="00214B02" w:rsidRPr="003A617D" w:rsidRDefault="00214B02" w:rsidP="001711F1">
            <w:pPr>
              <w:spacing w:after="0" w:line="240" w:lineRule="auto"/>
              <w:ind w:right="142"/>
              <w:rPr>
                <w:rFonts w:ascii="Times New Roman" w:eastAsia="Times New Roman" w:hAnsi="Times New Roman"/>
                <w:b/>
                <w:bCs/>
                <w:sz w:val="24"/>
                <w:szCs w:val="24"/>
                <w:lang w:val="uk-UA" w:eastAsia="ru-RU"/>
              </w:rPr>
            </w:pPr>
          </w:p>
          <w:p w14:paraId="1ABA7414" w14:textId="608E364D" w:rsidR="005437CD" w:rsidRPr="003A617D" w:rsidRDefault="00A842E5" w:rsidP="00AC7A99">
            <w:pPr>
              <w:spacing w:after="0" w:line="240" w:lineRule="auto"/>
              <w:ind w:right="142"/>
              <w:jc w:val="right"/>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Голові</w:t>
            </w:r>
          </w:p>
          <w:p w14:paraId="7E03D670" w14:textId="77777777" w:rsidR="00AC7A99" w:rsidRDefault="005437CD" w:rsidP="00AC7A99">
            <w:pPr>
              <w:spacing w:after="0" w:line="240" w:lineRule="auto"/>
              <w:ind w:right="142"/>
              <w:jc w:val="right"/>
              <w:rPr>
                <w:rFonts w:ascii="Times New Roman" w:eastAsia="Times New Roman" w:hAnsi="Times New Roman"/>
                <w:b/>
                <w:bCs/>
                <w:sz w:val="24"/>
                <w:szCs w:val="24"/>
                <w:lang w:val="uk-UA" w:eastAsia="ru-RU"/>
              </w:rPr>
            </w:pPr>
            <w:r w:rsidRPr="003A617D">
              <w:rPr>
                <w:rFonts w:ascii="Times New Roman" w:eastAsia="Times New Roman" w:hAnsi="Times New Roman"/>
                <w:b/>
                <w:bCs/>
                <w:sz w:val="24"/>
                <w:szCs w:val="24"/>
                <w:lang w:val="uk-UA" w:eastAsia="ru-RU"/>
              </w:rPr>
              <w:t>Державної регуляторної служби України</w:t>
            </w:r>
          </w:p>
          <w:p w14:paraId="2996965B" w14:textId="414278A7" w:rsidR="00A842E5" w:rsidRPr="003A617D" w:rsidRDefault="00A842E5" w:rsidP="00AC7A99">
            <w:pPr>
              <w:spacing w:after="0" w:line="240" w:lineRule="auto"/>
              <w:ind w:right="142"/>
              <w:jc w:val="right"/>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Олексію КУЧЕРУ</w:t>
            </w:r>
          </w:p>
          <w:p w14:paraId="74468936" w14:textId="77777777" w:rsidR="005437CD" w:rsidRPr="003A617D" w:rsidRDefault="005437CD" w:rsidP="00AC7A99">
            <w:pPr>
              <w:spacing w:after="0" w:line="240" w:lineRule="auto"/>
              <w:ind w:right="142"/>
              <w:jc w:val="right"/>
              <w:rPr>
                <w:rFonts w:ascii="Times New Roman" w:eastAsia="Times New Roman" w:hAnsi="Times New Roman"/>
                <w:b/>
                <w:bCs/>
                <w:sz w:val="24"/>
                <w:szCs w:val="24"/>
                <w:lang w:val="uk-UA" w:eastAsia="ru-RU"/>
              </w:rPr>
            </w:pPr>
          </w:p>
          <w:p w14:paraId="55A967FD" w14:textId="77777777" w:rsidR="00AC7A99" w:rsidRPr="003A617D" w:rsidRDefault="00AC7A99" w:rsidP="00781FB3">
            <w:pPr>
              <w:spacing w:after="0" w:line="240" w:lineRule="auto"/>
              <w:ind w:right="142"/>
              <w:jc w:val="right"/>
              <w:rPr>
                <w:rFonts w:ascii="Times New Roman" w:hAnsi="Times New Roman"/>
                <w:lang w:val="uk-UA"/>
              </w:rPr>
            </w:pPr>
          </w:p>
        </w:tc>
      </w:tr>
    </w:tbl>
    <w:p w14:paraId="37872B73" w14:textId="77777777" w:rsidR="00EF20B3" w:rsidRPr="00EF20B3" w:rsidRDefault="00EF20B3" w:rsidP="00EF20B3">
      <w:pPr>
        <w:tabs>
          <w:tab w:val="left" w:pos="4455"/>
        </w:tabs>
        <w:spacing w:after="0"/>
        <w:jc w:val="center"/>
        <w:rPr>
          <w:rFonts w:ascii="Times New Roman" w:hAnsi="Times New Roman"/>
          <w:b/>
          <w:sz w:val="24"/>
          <w:szCs w:val="24"/>
          <w:lang w:val="uk-UA" w:eastAsia="ru-RU"/>
        </w:rPr>
      </w:pPr>
      <w:r w:rsidRPr="00EF20B3">
        <w:rPr>
          <w:rFonts w:ascii="Times New Roman" w:hAnsi="Times New Roman"/>
          <w:b/>
          <w:sz w:val="24"/>
          <w:szCs w:val="24"/>
          <w:lang w:val="uk-UA" w:eastAsia="ru-RU"/>
        </w:rPr>
        <w:t>ЗАЯВА</w:t>
      </w:r>
    </w:p>
    <w:p w14:paraId="359E5F20" w14:textId="579AA0AF" w:rsidR="00214B02" w:rsidRPr="00EF20B3" w:rsidRDefault="00EF20B3" w:rsidP="00EF20B3">
      <w:pPr>
        <w:tabs>
          <w:tab w:val="left" w:pos="4455"/>
        </w:tabs>
        <w:spacing w:after="0"/>
        <w:jc w:val="center"/>
        <w:rPr>
          <w:rFonts w:ascii="Times New Roman" w:hAnsi="Times New Roman"/>
          <w:b/>
          <w:sz w:val="24"/>
          <w:szCs w:val="24"/>
          <w:lang w:val="uk-UA" w:eastAsia="ru-RU"/>
        </w:rPr>
      </w:pPr>
      <w:r w:rsidRPr="00EF20B3">
        <w:rPr>
          <w:rFonts w:ascii="Times New Roman" w:hAnsi="Times New Roman"/>
          <w:b/>
          <w:sz w:val="24"/>
          <w:szCs w:val="24"/>
          <w:lang w:val="uk-UA" w:eastAsia="ru-RU"/>
        </w:rPr>
        <w:t>про порушення вимог законодавства про дозвільну систему у сфері господарської діяльності</w:t>
      </w:r>
    </w:p>
    <w:p w14:paraId="72CF4DF0" w14:textId="77777777" w:rsidR="005437CD" w:rsidRPr="003A617D" w:rsidRDefault="005437CD" w:rsidP="00AC7A99">
      <w:pPr>
        <w:tabs>
          <w:tab w:val="left" w:pos="4455"/>
        </w:tabs>
        <w:spacing w:after="0"/>
        <w:ind w:firstLine="851"/>
        <w:jc w:val="center"/>
        <w:rPr>
          <w:rFonts w:ascii="Times New Roman" w:hAnsi="Times New Roman"/>
          <w:b/>
          <w:bCs/>
          <w:sz w:val="24"/>
          <w:szCs w:val="24"/>
          <w:lang w:val="uk-UA" w:eastAsia="ru-RU"/>
        </w:rPr>
      </w:pPr>
    </w:p>
    <w:p w14:paraId="2CF75950" w14:textId="5A07342A" w:rsidR="00A842E5" w:rsidRDefault="00A842E5" w:rsidP="00A842E5">
      <w:pPr>
        <w:tabs>
          <w:tab w:val="left" w:pos="4455"/>
        </w:tabs>
        <w:spacing w:after="0"/>
        <w:ind w:firstLine="851"/>
        <w:jc w:val="both"/>
        <w:rPr>
          <w:rFonts w:ascii="Times New Roman" w:hAnsi="Times New Roman"/>
          <w:shd w:val="clear" w:color="auto" w:fill="FFFFFF"/>
          <w:lang w:val="uk-UA"/>
        </w:rPr>
      </w:pPr>
      <w:r w:rsidRPr="00A842E5">
        <w:rPr>
          <w:rFonts w:ascii="Times New Roman" w:hAnsi="Times New Roman"/>
          <w:shd w:val="clear" w:color="auto" w:fill="FFFFFF"/>
          <w:lang w:val="uk-UA"/>
        </w:rPr>
        <w:t xml:space="preserve">ТОВ </w:t>
      </w:r>
      <w:r>
        <w:rPr>
          <w:rFonts w:ascii="Times New Roman" w:hAnsi="Times New Roman"/>
          <w:shd w:val="clear" w:color="auto" w:fill="FFFFFF"/>
          <w:lang w:val="uk-UA"/>
        </w:rPr>
        <w:t>«</w:t>
      </w:r>
      <w:r w:rsidR="00781FB3">
        <w:rPr>
          <w:rFonts w:ascii="Times New Roman" w:hAnsi="Times New Roman"/>
          <w:shd w:val="clear" w:color="auto" w:fill="FFFFFF"/>
          <w:lang w:val="uk-UA"/>
        </w:rPr>
        <w:t>ХХХ</w:t>
      </w:r>
      <w:r>
        <w:rPr>
          <w:rFonts w:ascii="Times New Roman" w:hAnsi="Times New Roman"/>
          <w:shd w:val="clear" w:color="auto" w:fill="FFFFFF"/>
          <w:lang w:val="uk-UA"/>
        </w:rPr>
        <w:t>»</w:t>
      </w:r>
      <w:r w:rsidRPr="00A842E5">
        <w:rPr>
          <w:rFonts w:ascii="Times New Roman" w:hAnsi="Times New Roman"/>
          <w:shd w:val="clear" w:color="auto" w:fill="FFFFFF"/>
          <w:lang w:val="uk-UA"/>
        </w:rPr>
        <w:t xml:space="preserve"> (Код ЄДРПОУ </w:t>
      </w:r>
      <w:r w:rsidR="00781FB3">
        <w:rPr>
          <w:rFonts w:ascii="Times New Roman" w:hAnsi="Times New Roman"/>
          <w:shd w:val="clear" w:color="auto" w:fill="FFFFFF"/>
          <w:lang w:val="uk-UA"/>
        </w:rPr>
        <w:t>ХХХХХХХ</w:t>
      </w:r>
      <w:r w:rsidRPr="00A842E5">
        <w:rPr>
          <w:rFonts w:ascii="Times New Roman" w:hAnsi="Times New Roman"/>
          <w:shd w:val="clear" w:color="auto" w:fill="FFFFFF"/>
          <w:lang w:val="uk-UA"/>
        </w:rPr>
        <w:t>)</w:t>
      </w:r>
      <w:r w:rsidR="00781FB3">
        <w:rPr>
          <w:rFonts w:ascii="Times New Roman" w:hAnsi="Times New Roman"/>
          <w:shd w:val="clear" w:color="auto" w:fill="FFFFFF"/>
          <w:lang w:val="uk-UA"/>
        </w:rPr>
        <w:t>, в</w:t>
      </w:r>
      <w:r>
        <w:rPr>
          <w:rFonts w:ascii="Times New Roman" w:hAnsi="Times New Roman"/>
          <w:shd w:val="clear" w:color="auto" w:fill="FFFFFF"/>
          <w:lang w:val="uk-UA"/>
        </w:rPr>
        <w:t xml:space="preserve">раховуючи вимоги Закону України «Про управління відходами», </w:t>
      </w:r>
      <w:r w:rsidRPr="00A842E5">
        <w:rPr>
          <w:rFonts w:ascii="Times New Roman" w:hAnsi="Times New Roman"/>
          <w:shd w:val="clear" w:color="auto" w:fill="FFFFFF"/>
          <w:lang w:val="uk-UA"/>
        </w:rPr>
        <w:t>Ліцензійн</w:t>
      </w:r>
      <w:r>
        <w:rPr>
          <w:rFonts w:ascii="Times New Roman" w:hAnsi="Times New Roman"/>
          <w:shd w:val="clear" w:color="auto" w:fill="FFFFFF"/>
          <w:lang w:val="uk-UA"/>
        </w:rPr>
        <w:t>і</w:t>
      </w:r>
      <w:r w:rsidRPr="00A842E5">
        <w:rPr>
          <w:rFonts w:ascii="Times New Roman" w:hAnsi="Times New Roman"/>
          <w:shd w:val="clear" w:color="auto" w:fill="FFFFFF"/>
          <w:lang w:val="uk-UA"/>
        </w:rPr>
        <w:t xml:space="preserve"> умов</w:t>
      </w:r>
      <w:r>
        <w:rPr>
          <w:rFonts w:ascii="Times New Roman" w:hAnsi="Times New Roman"/>
          <w:shd w:val="clear" w:color="auto" w:fill="FFFFFF"/>
          <w:lang w:val="uk-UA"/>
        </w:rPr>
        <w:t xml:space="preserve">и </w:t>
      </w:r>
      <w:r w:rsidRPr="00A842E5">
        <w:rPr>
          <w:rFonts w:ascii="Times New Roman" w:hAnsi="Times New Roman"/>
          <w:shd w:val="clear" w:color="auto" w:fill="FFFFFF"/>
          <w:lang w:val="uk-UA"/>
        </w:rPr>
        <w:t>провадження господарської діяльності з управління небезпечними відходами, затверджен</w:t>
      </w:r>
      <w:r>
        <w:rPr>
          <w:rFonts w:ascii="Times New Roman" w:hAnsi="Times New Roman"/>
          <w:shd w:val="clear" w:color="auto" w:fill="FFFFFF"/>
          <w:lang w:val="uk-UA"/>
        </w:rPr>
        <w:t>і</w:t>
      </w:r>
      <w:r w:rsidRPr="00A842E5">
        <w:rPr>
          <w:rFonts w:ascii="Times New Roman" w:hAnsi="Times New Roman"/>
          <w:shd w:val="clear" w:color="auto" w:fill="FFFFFF"/>
          <w:lang w:val="uk-UA"/>
        </w:rPr>
        <w:t xml:space="preserve"> постановою Кабінету Міністрів України від 05.12.2023 № 1278</w:t>
      </w:r>
      <w:r>
        <w:rPr>
          <w:rFonts w:ascii="Times New Roman" w:hAnsi="Times New Roman"/>
          <w:shd w:val="clear" w:color="auto" w:fill="FFFFFF"/>
          <w:lang w:val="uk-UA"/>
        </w:rPr>
        <w:t xml:space="preserve">, </w:t>
      </w:r>
      <w:r w:rsidRPr="00A842E5">
        <w:rPr>
          <w:rFonts w:ascii="Times New Roman" w:hAnsi="Times New Roman"/>
          <w:shd w:val="clear" w:color="auto" w:fill="FFFFFF"/>
          <w:lang w:val="uk-UA"/>
        </w:rPr>
        <w:t>Порядк</w:t>
      </w:r>
      <w:r>
        <w:rPr>
          <w:rFonts w:ascii="Times New Roman" w:hAnsi="Times New Roman"/>
          <w:shd w:val="clear" w:color="auto" w:fill="FFFFFF"/>
          <w:lang w:val="uk-UA"/>
        </w:rPr>
        <w:t xml:space="preserve">у </w:t>
      </w:r>
      <w:r w:rsidRPr="00A842E5">
        <w:rPr>
          <w:rFonts w:ascii="Times New Roman" w:hAnsi="Times New Roman"/>
          <w:shd w:val="clear" w:color="auto" w:fill="FFFFFF"/>
          <w:lang w:val="uk-UA"/>
        </w:rPr>
        <w:t>перевірки відповідності матеріально-технічної бази здобувача ліцензії технологічним вимогам до здійснення господарської діяльності з управління небезпечними відходами, правилам технічної експлуатації установок та технологічним регламентам</w:t>
      </w:r>
      <w:r>
        <w:rPr>
          <w:rFonts w:ascii="Times New Roman" w:hAnsi="Times New Roman"/>
          <w:shd w:val="clear" w:color="auto" w:fill="FFFFFF"/>
          <w:lang w:val="uk-UA"/>
        </w:rPr>
        <w:t xml:space="preserve"> </w:t>
      </w:r>
      <w:r w:rsidRPr="00A842E5">
        <w:rPr>
          <w:rFonts w:ascii="Times New Roman" w:hAnsi="Times New Roman"/>
          <w:shd w:val="clear" w:color="auto" w:fill="FFFFFF"/>
          <w:lang w:val="uk-UA"/>
        </w:rPr>
        <w:t>, затверджен</w:t>
      </w:r>
      <w:r>
        <w:rPr>
          <w:rFonts w:ascii="Times New Roman" w:hAnsi="Times New Roman"/>
          <w:shd w:val="clear" w:color="auto" w:fill="FFFFFF"/>
          <w:lang w:val="uk-UA"/>
        </w:rPr>
        <w:t>ого</w:t>
      </w:r>
      <w:r w:rsidRPr="00A842E5">
        <w:rPr>
          <w:rFonts w:ascii="Times New Roman" w:hAnsi="Times New Roman"/>
          <w:shd w:val="clear" w:color="auto" w:fill="FFFFFF"/>
          <w:lang w:val="uk-UA"/>
        </w:rPr>
        <w:t xml:space="preserve"> наказом Міністерства захисту довкілля та природних ресурсів України 31 жовтня 2023 року № 72</w:t>
      </w:r>
      <w:r>
        <w:rPr>
          <w:rFonts w:ascii="Times New Roman" w:hAnsi="Times New Roman"/>
          <w:shd w:val="clear" w:color="auto" w:fill="FFFFFF"/>
          <w:lang w:val="uk-UA"/>
        </w:rPr>
        <w:t xml:space="preserve">, </w:t>
      </w:r>
      <w:r w:rsidR="00435F58">
        <w:rPr>
          <w:rFonts w:ascii="Times New Roman" w:hAnsi="Times New Roman"/>
          <w:shd w:val="clear" w:color="auto" w:fill="FFFFFF"/>
          <w:lang w:val="uk-UA"/>
        </w:rPr>
        <w:t xml:space="preserve">пройшло перевірку </w:t>
      </w:r>
      <w:r w:rsidR="00435F58" w:rsidRPr="00A842E5">
        <w:rPr>
          <w:rFonts w:ascii="Times New Roman" w:hAnsi="Times New Roman"/>
          <w:shd w:val="clear" w:color="auto" w:fill="FFFFFF"/>
          <w:lang w:val="uk-UA"/>
        </w:rPr>
        <w:t>матеріально-технічної бази</w:t>
      </w:r>
      <w:r w:rsidR="00435F58">
        <w:rPr>
          <w:rFonts w:ascii="Times New Roman" w:hAnsi="Times New Roman"/>
          <w:shd w:val="clear" w:color="auto" w:fill="FFFFFF"/>
          <w:lang w:val="uk-UA"/>
        </w:rPr>
        <w:t xml:space="preserve"> та отримало </w:t>
      </w:r>
      <w:r w:rsidR="00435F58" w:rsidRPr="00435F58">
        <w:rPr>
          <w:rFonts w:ascii="Times New Roman" w:hAnsi="Times New Roman"/>
          <w:shd w:val="clear" w:color="auto" w:fill="FFFFFF"/>
          <w:lang w:val="uk-UA"/>
        </w:rPr>
        <w:t xml:space="preserve">АКТ ПЕРЕВІРКИ № </w:t>
      </w:r>
      <w:r w:rsidR="00781FB3">
        <w:rPr>
          <w:rFonts w:ascii="Times New Roman" w:hAnsi="Times New Roman"/>
          <w:shd w:val="clear" w:color="auto" w:fill="FFFFFF"/>
          <w:lang w:val="uk-UA"/>
        </w:rPr>
        <w:t>ХХХ</w:t>
      </w:r>
      <w:r w:rsidR="00435F58" w:rsidRPr="00435F58">
        <w:rPr>
          <w:rFonts w:ascii="Times New Roman" w:hAnsi="Times New Roman"/>
          <w:shd w:val="clear" w:color="auto" w:fill="FFFFFF"/>
          <w:lang w:val="uk-UA"/>
        </w:rPr>
        <w:t xml:space="preserve"> відповідності матеріально-технічної бази здобувача ліцензії технологічним вимогам до здійснення господарської діяльності з управління небезпечними відходами правилам технічної експлуатації установок та технологічним регламентам від </w:t>
      </w:r>
      <w:r w:rsidR="00781FB3">
        <w:rPr>
          <w:rFonts w:ascii="Times New Roman" w:hAnsi="Times New Roman"/>
          <w:shd w:val="clear" w:color="auto" w:fill="FFFFFF"/>
          <w:lang w:val="uk-UA"/>
        </w:rPr>
        <w:t>ХХ.ХХ.ХХХХ</w:t>
      </w:r>
    </w:p>
    <w:p w14:paraId="6C321D97" w14:textId="1D3E8C8C" w:rsidR="00435F58" w:rsidRPr="00435F58" w:rsidRDefault="00435F58" w:rsidP="00A842E5">
      <w:pPr>
        <w:tabs>
          <w:tab w:val="left" w:pos="4455"/>
        </w:tabs>
        <w:spacing w:after="0"/>
        <w:ind w:firstLine="851"/>
        <w:jc w:val="both"/>
        <w:rPr>
          <w:rFonts w:ascii="Times New Roman" w:hAnsi="Times New Roman"/>
          <w:b/>
          <w:bCs/>
          <w:shd w:val="clear" w:color="auto" w:fill="FFFFFF"/>
          <w:lang w:val="uk-UA"/>
        </w:rPr>
      </w:pPr>
      <w:r>
        <w:rPr>
          <w:rFonts w:ascii="Times New Roman" w:hAnsi="Times New Roman"/>
          <w:shd w:val="clear" w:color="auto" w:fill="FFFFFF"/>
          <w:lang w:val="uk-UA"/>
        </w:rPr>
        <w:t>У відповідності до вказан</w:t>
      </w:r>
      <w:r w:rsidR="00781FB3">
        <w:rPr>
          <w:rFonts w:ascii="Times New Roman" w:hAnsi="Times New Roman"/>
          <w:shd w:val="clear" w:color="auto" w:fill="FFFFFF"/>
          <w:lang w:val="uk-UA"/>
        </w:rPr>
        <w:t>ого</w:t>
      </w:r>
      <w:r>
        <w:rPr>
          <w:rFonts w:ascii="Times New Roman" w:hAnsi="Times New Roman"/>
          <w:shd w:val="clear" w:color="auto" w:fill="FFFFFF"/>
          <w:lang w:val="uk-UA"/>
        </w:rPr>
        <w:t xml:space="preserve"> Акт</w:t>
      </w:r>
      <w:r w:rsidR="00781FB3">
        <w:rPr>
          <w:rFonts w:ascii="Times New Roman" w:hAnsi="Times New Roman"/>
          <w:shd w:val="clear" w:color="auto" w:fill="FFFFFF"/>
          <w:lang w:val="uk-UA"/>
        </w:rPr>
        <w:t>у</w:t>
      </w:r>
      <w:r>
        <w:rPr>
          <w:rFonts w:ascii="Times New Roman" w:hAnsi="Times New Roman"/>
          <w:shd w:val="clear" w:color="auto" w:fill="FFFFFF"/>
          <w:lang w:val="uk-UA"/>
        </w:rPr>
        <w:t xml:space="preserve"> зазначено</w:t>
      </w:r>
      <w:r w:rsidRPr="00435F58">
        <w:rPr>
          <w:rFonts w:ascii="Times New Roman" w:hAnsi="Times New Roman"/>
          <w:shd w:val="clear" w:color="auto" w:fill="FFFFFF"/>
          <w:lang w:val="uk-UA"/>
        </w:rPr>
        <w:t xml:space="preserve"> про відповідність матеріально-технічна база здобувача ліцензії заявленим технологічним вимогам до здійснення господарської діяльності з управління небезпечними відходами, </w:t>
      </w:r>
      <w:r w:rsidRPr="00435F58">
        <w:rPr>
          <w:rFonts w:ascii="Times New Roman" w:hAnsi="Times New Roman"/>
          <w:b/>
          <w:bCs/>
          <w:shd w:val="clear" w:color="auto" w:fill="FFFFFF"/>
          <w:lang w:val="uk-UA"/>
        </w:rPr>
        <w:t>у т.ч. їх підтвердження</w:t>
      </w:r>
      <w:r w:rsidRPr="00435F58">
        <w:rPr>
          <w:rFonts w:ascii="Times New Roman" w:hAnsi="Times New Roman"/>
          <w:shd w:val="clear" w:color="auto" w:fill="FFFFFF"/>
          <w:lang w:val="uk-UA"/>
        </w:rPr>
        <w:t xml:space="preserve"> наданими технологічними регламентами та </w:t>
      </w:r>
      <w:r w:rsidRPr="00435F58">
        <w:rPr>
          <w:rFonts w:ascii="Times New Roman" w:hAnsi="Times New Roman"/>
          <w:b/>
          <w:bCs/>
          <w:shd w:val="clear" w:color="auto" w:fill="FFFFFF"/>
          <w:lang w:val="uk-UA"/>
        </w:rPr>
        <w:t xml:space="preserve">висновком державної екологічної експертизи від </w:t>
      </w:r>
      <w:r w:rsidR="00781FB3">
        <w:rPr>
          <w:rFonts w:ascii="Times New Roman" w:hAnsi="Times New Roman"/>
          <w:b/>
          <w:bCs/>
          <w:shd w:val="clear" w:color="auto" w:fill="FFFFFF"/>
          <w:lang w:val="uk-UA"/>
        </w:rPr>
        <w:t>ХХ.ХХ.ХХХХ</w:t>
      </w:r>
      <w:r w:rsidRPr="00435F58">
        <w:rPr>
          <w:rFonts w:ascii="Times New Roman" w:hAnsi="Times New Roman"/>
          <w:b/>
          <w:bCs/>
          <w:shd w:val="clear" w:color="auto" w:fill="FFFFFF"/>
          <w:lang w:val="uk-UA"/>
        </w:rPr>
        <w:t xml:space="preserve"> № </w:t>
      </w:r>
      <w:r w:rsidR="00781FB3">
        <w:rPr>
          <w:rFonts w:ascii="Times New Roman" w:hAnsi="Times New Roman"/>
          <w:b/>
          <w:bCs/>
          <w:shd w:val="clear" w:color="auto" w:fill="FFFFFF"/>
          <w:lang w:val="uk-UA"/>
        </w:rPr>
        <w:t>ХХХ</w:t>
      </w:r>
    </w:p>
    <w:p w14:paraId="43D4289F" w14:textId="50890901" w:rsidR="00435F58" w:rsidRDefault="00435F58" w:rsidP="00A842E5">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b/>
          <w:bCs/>
          <w:shd w:val="clear" w:color="auto" w:fill="FFFFFF"/>
          <w:lang w:val="uk-UA"/>
        </w:rPr>
        <w:t xml:space="preserve">На підставі висновку державної екологічної експертизи від </w:t>
      </w:r>
      <w:r w:rsidR="00781FB3">
        <w:rPr>
          <w:rFonts w:ascii="Times New Roman" w:hAnsi="Times New Roman"/>
          <w:b/>
          <w:bCs/>
          <w:shd w:val="clear" w:color="auto" w:fill="FFFFFF"/>
          <w:lang w:val="uk-UA"/>
        </w:rPr>
        <w:t>ХХ.ХХ.ХХХХ</w:t>
      </w:r>
      <w:r w:rsidR="00781FB3" w:rsidRPr="00435F58">
        <w:rPr>
          <w:rFonts w:ascii="Times New Roman" w:hAnsi="Times New Roman"/>
          <w:b/>
          <w:bCs/>
          <w:shd w:val="clear" w:color="auto" w:fill="FFFFFF"/>
          <w:lang w:val="uk-UA"/>
        </w:rPr>
        <w:t xml:space="preserve"> № </w:t>
      </w:r>
      <w:r w:rsidR="00781FB3">
        <w:rPr>
          <w:rFonts w:ascii="Times New Roman" w:hAnsi="Times New Roman"/>
          <w:b/>
          <w:bCs/>
          <w:shd w:val="clear" w:color="auto" w:fill="FFFFFF"/>
          <w:lang w:val="uk-UA"/>
        </w:rPr>
        <w:t>ХХХ</w:t>
      </w:r>
      <w:r w:rsidR="00781FB3" w:rsidRPr="00435F58">
        <w:rPr>
          <w:rFonts w:ascii="Times New Roman" w:hAnsi="Times New Roman"/>
          <w:b/>
          <w:bCs/>
          <w:shd w:val="clear" w:color="auto" w:fill="FFFFFF"/>
          <w:lang w:val="uk-UA"/>
        </w:rPr>
        <w:t xml:space="preserve"> </w:t>
      </w:r>
      <w:r w:rsidRPr="00435F58">
        <w:rPr>
          <w:rFonts w:ascii="Times New Roman" w:hAnsi="Times New Roman"/>
          <w:b/>
          <w:bCs/>
          <w:shd w:val="clear" w:color="auto" w:fill="FFFFFF"/>
          <w:lang w:val="uk-UA"/>
        </w:rPr>
        <w:t>органом ліцензування</w:t>
      </w:r>
      <w:r w:rsidRPr="00435F58">
        <w:rPr>
          <w:rFonts w:ascii="Times New Roman" w:hAnsi="Times New Roman"/>
          <w:shd w:val="clear" w:color="auto" w:fill="FFFFFF"/>
          <w:lang w:val="uk-UA"/>
        </w:rPr>
        <w:t xml:space="preserve"> господарської діяльності з управління небезпечними відходами (Міндовкілля) </w:t>
      </w:r>
      <w:r w:rsidRPr="00435F58">
        <w:rPr>
          <w:rFonts w:ascii="Times New Roman" w:hAnsi="Times New Roman"/>
          <w:b/>
          <w:bCs/>
          <w:shd w:val="clear" w:color="auto" w:fill="FFFFFF"/>
          <w:lang w:val="uk-UA"/>
        </w:rPr>
        <w:t xml:space="preserve">було видано наказ Міндовкілля  від </w:t>
      </w:r>
      <w:r w:rsidR="00781FB3">
        <w:rPr>
          <w:rFonts w:ascii="Times New Roman" w:hAnsi="Times New Roman"/>
          <w:b/>
          <w:bCs/>
          <w:shd w:val="clear" w:color="auto" w:fill="FFFFFF"/>
          <w:lang w:val="uk-UA"/>
        </w:rPr>
        <w:t>ХХ.ХХ.ХХХХ</w:t>
      </w:r>
      <w:r w:rsidRPr="00435F58">
        <w:rPr>
          <w:rFonts w:ascii="Times New Roman" w:hAnsi="Times New Roman"/>
          <w:b/>
          <w:bCs/>
          <w:shd w:val="clear" w:color="auto" w:fill="FFFFFF"/>
          <w:lang w:val="uk-UA"/>
        </w:rPr>
        <w:t xml:space="preserve"> № </w:t>
      </w:r>
      <w:r w:rsidR="00781FB3">
        <w:rPr>
          <w:rFonts w:ascii="Times New Roman" w:hAnsi="Times New Roman"/>
          <w:b/>
          <w:bCs/>
          <w:shd w:val="clear" w:color="auto" w:fill="FFFFFF"/>
          <w:lang w:val="uk-UA"/>
        </w:rPr>
        <w:t>ХХ</w:t>
      </w:r>
      <w:r w:rsidRPr="00435F58">
        <w:rPr>
          <w:rFonts w:ascii="Times New Roman" w:hAnsi="Times New Roman"/>
          <w:b/>
          <w:bCs/>
          <w:shd w:val="clear" w:color="auto" w:fill="FFFFFF"/>
          <w:lang w:val="uk-UA"/>
        </w:rPr>
        <w:t xml:space="preserve"> «Про видачу ліцензії ТОВ «</w:t>
      </w:r>
      <w:r w:rsidR="00781FB3">
        <w:rPr>
          <w:rFonts w:ascii="Times New Roman" w:hAnsi="Times New Roman"/>
          <w:b/>
          <w:bCs/>
          <w:shd w:val="clear" w:color="auto" w:fill="FFFFFF"/>
          <w:lang w:val="uk-UA"/>
        </w:rPr>
        <w:t>ХХХ</w:t>
      </w:r>
      <w:r w:rsidRPr="00435F58">
        <w:rPr>
          <w:rFonts w:ascii="Times New Roman" w:hAnsi="Times New Roman"/>
          <w:b/>
          <w:bCs/>
          <w:shd w:val="clear" w:color="auto" w:fill="FFFFFF"/>
          <w:lang w:val="uk-UA"/>
        </w:rPr>
        <w:t>».</w:t>
      </w:r>
    </w:p>
    <w:p w14:paraId="241456C2" w14:textId="1DED6F6F" w:rsidR="00435F58" w:rsidRDefault="00435F58" w:rsidP="00435F58">
      <w:pPr>
        <w:tabs>
          <w:tab w:val="left" w:pos="4455"/>
        </w:tabs>
        <w:spacing w:after="0"/>
        <w:ind w:firstLine="851"/>
        <w:jc w:val="both"/>
        <w:rPr>
          <w:rFonts w:ascii="Times New Roman" w:hAnsi="Times New Roman"/>
          <w:shd w:val="clear" w:color="auto" w:fill="FFFFFF"/>
          <w:lang w:val="uk-UA"/>
        </w:rPr>
      </w:pPr>
      <w:r>
        <w:rPr>
          <w:rFonts w:ascii="Times New Roman" w:hAnsi="Times New Roman"/>
          <w:shd w:val="clear" w:color="auto" w:fill="FFFFFF"/>
          <w:lang w:val="uk-UA"/>
        </w:rPr>
        <w:t xml:space="preserve">У подальшому, при отриманні дозволу на здійснення операцій з оброблення відходів, Міндовкілля видано </w:t>
      </w:r>
      <w:r w:rsidRPr="00435F58">
        <w:rPr>
          <w:rFonts w:ascii="Times New Roman" w:hAnsi="Times New Roman"/>
          <w:shd w:val="clear" w:color="auto" w:fill="FFFFFF"/>
          <w:lang w:val="uk-UA"/>
        </w:rPr>
        <w:t>В</w:t>
      </w:r>
      <w:r>
        <w:rPr>
          <w:rFonts w:ascii="Times New Roman" w:hAnsi="Times New Roman"/>
          <w:shd w:val="clear" w:color="auto" w:fill="FFFFFF"/>
          <w:lang w:val="uk-UA"/>
        </w:rPr>
        <w:t>ідмову</w:t>
      </w:r>
      <w:r w:rsidRPr="00435F58">
        <w:rPr>
          <w:rFonts w:ascii="Times New Roman" w:hAnsi="Times New Roman"/>
          <w:shd w:val="clear" w:color="auto" w:fill="FFFFFF"/>
          <w:lang w:val="uk-UA"/>
        </w:rPr>
        <w:t xml:space="preserve"> у видачі дозволу на здійснення операцій з оброблення відходів № від </w:t>
      </w:r>
      <w:r w:rsidR="00781FB3">
        <w:rPr>
          <w:rFonts w:ascii="Times New Roman" w:hAnsi="Times New Roman"/>
          <w:shd w:val="clear" w:color="auto" w:fill="FFFFFF"/>
          <w:lang w:val="uk-UA"/>
        </w:rPr>
        <w:t>ХХ.ХХ.ХХХХ</w:t>
      </w:r>
      <w:r>
        <w:rPr>
          <w:rFonts w:ascii="Times New Roman" w:hAnsi="Times New Roman"/>
          <w:shd w:val="clear" w:color="auto" w:fill="FFFFFF"/>
          <w:lang w:val="uk-UA"/>
        </w:rPr>
        <w:t xml:space="preserve">, </w:t>
      </w:r>
      <w:r w:rsidRPr="00435F58">
        <w:rPr>
          <w:rFonts w:ascii="Times New Roman" w:hAnsi="Times New Roman"/>
          <w:b/>
          <w:bCs/>
          <w:shd w:val="clear" w:color="auto" w:fill="FFFFFF"/>
          <w:lang w:val="uk-UA"/>
        </w:rPr>
        <w:t>підставою якої вказано відсутність висновку з оцінки впливу на довкілля</w:t>
      </w:r>
      <w:r w:rsidRPr="00435F58">
        <w:rPr>
          <w:rFonts w:ascii="Times New Roman" w:hAnsi="Times New Roman"/>
          <w:shd w:val="clear" w:color="auto" w:fill="FFFFFF"/>
          <w:lang w:val="uk-UA"/>
        </w:rPr>
        <w:t xml:space="preserve"> відповідно до Закону України «Про оцінку впливу на довкілля», яким визначено допустимість провадження планованої діяльності та екологічні умови її провадження, за умови, що діяльність, оцінена зазначеним висновком, не зазнала розширень та змін, передбачених пунктом 22 частини другої та пунктом 14 частини третьої статті 3 Закону України «Про оцінку впливу на довкілля».</w:t>
      </w:r>
    </w:p>
    <w:p w14:paraId="52ACF144" w14:textId="77777777" w:rsidR="00435F58" w:rsidRDefault="00435F58" w:rsidP="00435F58">
      <w:pPr>
        <w:tabs>
          <w:tab w:val="left" w:pos="4455"/>
        </w:tabs>
        <w:spacing w:after="0"/>
        <w:ind w:firstLine="851"/>
        <w:jc w:val="both"/>
        <w:rPr>
          <w:rFonts w:ascii="Times New Roman" w:hAnsi="Times New Roman"/>
          <w:shd w:val="clear" w:color="auto" w:fill="FFFFFF"/>
          <w:lang w:val="uk-UA"/>
        </w:rPr>
      </w:pPr>
    </w:p>
    <w:p w14:paraId="309DFBF5" w14:textId="38D8A6C7" w:rsidR="00435F58" w:rsidRPr="00435F58" w:rsidRDefault="00435F58" w:rsidP="00435F58">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shd w:val="clear" w:color="auto" w:fill="FFFFFF"/>
          <w:lang w:val="uk-UA"/>
        </w:rPr>
        <w:t xml:space="preserve">У відповідності до ст.11, ч. 2, 3 ст. 17 Закону 2059-VIII </w:t>
      </w:r>
      <w:r w:rsidRPr="00435F58">
        <w:rPr>
          <w:rFonts w:ascii="Times New Roman" w:hAnsi="Times New Roman"/>
          <w:b/>
          <w:bCs/>
          <w:shd w:val="clear" w:color="auto" w:fill="FFFFFF"/>
          <w:lang w:val="uk-UA"/>
        </w:rPr>
        <w:t>висновок державної екологічної експертизи зберігає чинність та має статус висновку з оцінки впливу на довкілля</w:t>
      </w:r>
      <w:r w:rsidRPr="00435F58">
        <w:rPr>
          <w:rFonts w:ascii="Times New Roman" w:hAnsi="Times New Roman"/>
          <w:shd w:val="clear" w:color="auto" w:fill="FFFFFF"/>
          <w:lang w:val="uk-UA"/>
        </w:rPr>
        <w:t xml:space="preserve">, вказаному у вичерпному переліку п. 10 Порядку видачі, відмови у видачі, анулювання дозволу на здійснення операцій з оброблення відходів, затвердженого постановою Кабінету Міністрів України від 19 грудня 2023 р. № 1328, </w:t>
      </w:r>
      <w:r w:rsidRPr="00435F58">
        <w:rPr>
          <w:rFonts w:ascii="Times New Roman" w:hAnsi="Times New Roman"/>
          <w:b/>
          <w:bCs/>
          <w:shd w:val="clear" w:color="auto" w:fill="FFFFFF"/>
          <w:lang w:val="uk-UA"/>
        </w:rPr>
        <w:t>та є підставою для видачі дозволу на здійснення операцій з оброблення відходів</w:t>
      </w:r>
      <w:r w:rsidRPr="00435F58">
        <w:rPr>
          <w:rFonts w:ascii="Times New Roman" w:hAnsi="Times New Roman"/>
          <w:shd w:val="clear" w:color="auto" w:fill="FFFFFF"/>
          <w:lang w:val="uk-UA"/>
        </w:rPr>
        <w:t xml:space="preserve"> уповноваженим органом.</w:t>
      </w:r>
    </w:p>
    <w:p w14:paraId="128298D2" w14:textId="77777777" w:rsidR="00435F58" w:rsidRDefault="00435F58" w:rsidP="00435F58">
      <w:pPr>
        <w:tabs>
          <w:tab w:val="left" w:pos="4455"/>
        </w:tabs>
        <w:spacing w:after="0"/>
        <w:ind w:firstLine="851"/>
        <w:jc w:val="both"/>
        <w:rPr>
          <w:rFonts w:ascii="Times New Roman" w:hAnsi="Times New Roman"/>
          <w:shd w:val="clear" w:color="auto" w:fill="FFFFFF"/>
          <w:lang w:val="uk-UA"/>
        </w:rPr>
      </w:pPr>
    </w:p>
    <w:p w14:paraId="5F2EADA9" w14:textId="47B1FEA3" w:rsidR="00435F58" w:rsidRPr="00435F58" w:rsidRDefault="00435F58" w:rsidP="00435F58">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shd w:val="clear" w:color="auto" w:fill="FFFFFF"/>
          <w:lang w:val="uk-UA"/>
        </w:rPr>
        <w:t xml:space="preserve">У відповідності до п. 5 ст. 4-1 Закону України «Про дозвільну систему у сфері господарської діяльності» при повторному розгляді документів </w:t>
      </w:r>
      <w:r w:rsidRPr="00435F58">
        <w:rPr>
          <w:rFonts w:ascii="Times New Roman" w:hAnsi="Times New Roman"/>
          <w:b/>
          <w:bCs/>
          <w:shd w:val="clear" w:color="auto" w:fill="FFFFFF"/>
          <w:lang w:val="uk-UA"/>
        </w:rPr>
        <w:t xml:space="preserve">не допускається відмова у видачі документа </w:t>
      </w:r>
      <w:r w:rsidRPr="00435F58">
        <w:rPr>
          <w:rFonts w:ascii="Times New Roman" w:hAnsi="Times New Roman"/>
          <w:b/>
          <w:bCs/>
          <w:shd w:val="clear" w:color="auto" w:fill="FFFFFF"/>
          <w:lang w:val="uk-UA"/>
        </w:rPr>
        <w:lastRenderedPageBreak/>
        <w:t>дозвільного характеру з причин, раніше не зазначених у письмовому повідомленні заявнику</w:t>
      </w:r>
      <w:r w:rsidRPr="00435F58">
        <w:rPr>
          <w:rFonts w:ascii="Times New Roman" w:hAnsi="Times New Roman"/>
          <w:shd w:val="clear" w:color="auto" w:fill="FFFFFF"/>
          <w:lang w:val="uk-UA"/>
        </w:rPr>
        <w:t xml:space="preserve"> (за винятком </w:t>
      </w:r>
      <w:proofErr w:type="spellStart"/>
      <w:r w:rsidRPr="00435F58">
        <w:rPr>
          <w:rFonts w:ascii="Times New Roman" w:hAnsi="Times New Roman"/>
          <w:shd w:val="clear" w:color="auto" w:fill="FFFFFF"/>
          <w:lang w:val="uk-UA"/>
        </w:rPr>
        <w:t>неусунення</w:t>
      </w:r>
      <w:proofErr w:type="spellEnd"/>
      <w:r w:rsidRPr="00435F58">
        <w:rPr>
          <w:rFonts w:ascii="Times New Roman" w:hAnsi="Times New Roman"/>
          <w:shd w:val="clear" w:color="auto" w:fill="FFFFFF"/>
          <w:lang w:val="uk-UA"/>
        </w:rPr>
        <w:t xml:space="preserve"> чи усунення не в повному обсязі заявником причин, що стали підставою для попередньої відмови).</w:t>
      </w:r>
    </w:p>
    <w:p w14:paraId="1CC921A9" w14:textId="77777777" w:rsidR="00435F58" w:rsidRPr="00435F58" w:rsidRDefault="00435F58" w:rsidP="00435F58">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shd w:val="clear" w:color="auto" w:fill="FFFFFF"/>
          <w:lang w:val="uk-UA"/>
        </w:rPr>
        <w:t xml:space="preserve">Згідно з п. 21. Порядку 1328-2023-п під час повторного розгляду заяви та доданих до неї документів і відомостей </w:t>
      </w:r>
      <w:r w:rsidRPr="00435F58">
        <w:rPr>
          <w:rFonts w:ascii="Times New Roman" w:hAnsi="Times New Roman"/>
          <w:b/>
          <w:bCs/>
          <w:shd w:val="clear" w:color="auto" w:fill="FFFFFF"/>
          <w:lang w:val="uk-UA"/>
        </w:rPr>
        <w:t>не допускається відмова у видачі дозволу з причин, раніше не зазначених у рішенні про відмову у видачі дозволу</w:t>
      </w:r>
      <w:r w:rsidRPr="00435F58">
        <w:rPr>
          <w:rFonts w:ascii="Times New Roman" w:hAnsi="Times New Roman"/>
          <w:shd w:val="clear" w:color="auto" w:fill="FFFFFF"/>
          <w:lang w:val="uk-UA"/>
        </w:rPr>
        <w:t xml:space="preserve"> (крім </w:t>
      </w:r>
      <w:proofErr w:type="spellStart"/>
      <w:r w:rsidRPr="00435F58">
        <w:rPr>
          <w:rFonts w:ascii="Times New Roman" w:hAnsi="Times New Roman"/>
          <w:shd w:val="clear" w:color="auto" w:fill="FFFFFF"/>
          <w:lang w:val="uk-UA"/>
        </w:rPr>
        <w:t>неусунення</w:t>
      </w:r>
      <w:proofErr w:type="spellEnd"/>
      <w:r w:rsidRPr="00435F58">
        <w:rPr>
          <w:rFonts w:ascii="Times New Roman" w:hAnsi="Times New Roman"/>
          <w:shd w:val="clear" w:color="auto" w:fill="FFFFFF"/>
          <w:lang w:val="uk-UA"/>
        </w:rPr>
        <w:t xml:space="preserve"> чи усунення не в повному обсязі заявником причин, що стали підставою для попередньої відмови)</w:t>
      </w:r>
    </w:p>
    <w:p w14:paraId="6B1D0E22" w14:textId="7EF015AE" w:rsidR="00435F58" w:rsidRPr="00435F58" w:rsidRDefault="00435F58" w:rsidP="00435F58">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shd w:val="clear" w:color="auto" w:fill="FFFFFF"/>
          <w:lang w:val="uk-UA"/>
        </w:rPr>
        <w:t xml:space="preserve">В переліку підстав попередньої відмови у видачі дозволу на здійснення операцій з оброблення відходів № </w:t>
      </w:r>
      <w:r w:rsidR="00781FB3">
        <w:rPr>
          <w:rFonts w:ascii="Times New Roman" w:hAnsi="Times New Roman"/>
          <w:shd w:val="clear" w:color="auto" w:fill="FFFFFF"/>
          <w:lang w:val="uk-UA"/>
        </w:rPr>
        <w:t>ХХХ</w:t>
      </w:r>
      <w:r w:rsidRPr="00435F58">
        <w:rPr>
          <w:rFonts w:ascii="Times New Roman" w:hAnsi="Times New Roman"/>
          <w:shd w:val="clear" w:color="auto" w:fill="FFFFFF"/>
          <w:lang w:val="uk-UA"/>
        </w:rPr>
        <w:t xml:space="preserve"> від </w:t>
      </w:r>
      <w:r w:rsidR="00781FB3">
        <w:rPr>
          <w:rFonts w:ascii="Times New Roman" w:hAnsi="Times New Roman"/>
          <w:shd w:val="clear" w:color="auto" w:fill="FFFFFF"/>
          <w:lang w:val="uk-UA"/>
        </w:rPr>
        <w:t>ХХ.ХХ.ХХХХ</w:t>
      </w:r>
      <w:r w:rsidRPr="00435F58">
        <w:rPr>
          <w:rFonts w:ascii="Times New Roman" w:hAnsi="Times New Roman"/>
          <w:shd w:val="clear" w:color="auto" w:fill="FFFFFF"/>
          <w:lang w:val="uk-UA"/>
        </w:rPr>
        <w:t xml:space="preserve"> </w:t>
      </w:r>
      <w:r w:rsidRPr="00435F58">
        <w:rPr>
          <w:rFonts w:ascii="Times New Roman" w:hAnsi="Times New Roman"/>
          <w:b/>
          <w:bCs/>
          <w:shd w:val="clear" w:color="auto" w:fill="FFFFFF"/>
          <w:lang w:val="uk-UA"/>
        </w:rPr>
        <w:t>відсутність висновку з оцінки впливу на довкілля відповідно до Закону України «Про оцінку впливу на довкілля» не вказано</w:t>
      </w:r>
      <w:r w:rsidRPr="00435F58">
        <w:rPr>
          <w:rFonts w:ascii="Times New Roman" w:hAnsi="Times New Roman"/>
          <w:shd w:val="clear" w:color="auto" w:fill="FFFFFF"/>
          <w:lang w:val="uk-UA"/>
        </w:rPr>
        <w:t>.</w:t>
      </w:r>
    </w:p>
    <w:p w14:paraId="045A1EA6" w14:textId="466BA567" w:rsidR="00435F58" w:rsidRDefault="00435F58" w:rsidP="00435F58">
      <w:pPr>
        <w:tabs>
          <w:tab w:val="left" w:pos="4455"/>
        </w:tabs>
        <w:spacing w:after="0"/>
        <w:ind w:firstLine="851"/>
        <w:jc w:val="both"/>
        <w:rPr>
          <w:rFonts w:ascii="Times New Roman" w:hAnsi="Times New Roman"/>
          <w:shd w:val="clear" w:color="auto" w:fill="FFFFFF"/>
          <w:lang w:val="uk-UA"/>
        </w:rPr>
      </w:pPr>
      <w:r w:rsidRPr="00435F58">
        <w:rPr>
          <w:rFonts w:ascii="Times New Roman" w:hAnsi="Times New Roman"/>
          <w:shd w:val="clear" w:color="auto" w:fill="FFFFFF"/>
          <w:lang w:val="uk-UA"/>
        </w:rPr>
        <w:t xml:space="preserve">Посилання на підставу для відмови </w:t>
      </w:r>
      <w:r w:rsidR="00781FB3" w:rsidRPr="00435F58">
        <w:rPr>
          <w:rFonts w:ascii="Times New Roman" w:hAnsi="Times New Roman"/>
          <w:shd w:val="clear" w:color="auto" w:fill="FFFFFF"/>
          <w:lang w:val="uk-UA"/>
        </w:rPr>
        <w:t xml:space="preserve">№ </w:t>
      </w:r>
      <w:r w:rsidR="00781FB3">
        <w:rPr>
          <w:rFonts w:ascii="Times New Roman" w:hAnsi="Times New Roman"/>
          <w:shd w:val="clear" w:color="auto" w:fill="FFFFFF"/>
          <w:lang w:val="uk-UA"/>
        </w:rPr>
        <w:t>ХХХ</w:t>
      </w:r>
      <w:r w:rsidR="00781FB3" w:rsidRPr="00435F58">
        <w:rPr>
          <w:rFonts w:ascii="Times New Roman" w:hAnsi="Times New Roman"/>
          <w:shd w:val="clear" w:color="auto" w:fill="FFFFFF"/>
          <w:lang w:val="uk-UA"/>
        </w:rPr>
        <w:t xml:space="preserve"> від </w:t>
      </w:r>
      <w:r w:rsidR="00781FB3">
        <w:rPr>
          <w:rFonts w:ascii="Times New Roman" w:hAnsi="Times New Roman"/>
          <w:shd w:val="clear" w:color="auto" w:fill="FFFFFF"/>
          <w:lang w:val="uk-UA"/>
        </w:rPr>
        <w:t>ХХ.ХХ.ХХХХ</w:t>
      </w:r>
      <w:r w:rsidR="00781FB3" w:rsidRPr="00435F58">
        <w:rPr>
          <w:rFonts w:ascii="Times New Roman" w:hAnsi="Times New Roman"/>
          <w:shd w:val="clear" w:color="auto" w:fill="FFFFFF"/>
          <w:lang w:val="uk-UA"/>
        </w:rPr>
        <w:t xml:space="preserve"> </w:t>
      </w:r>
      <w:r>
        <w:rPr>
          <w:rFonts w:ascii="Times New Roman" w:hAnsi="Times New Roman"/>
          <w:shd w:val="clear" w:color="auto" w:fill="FFFFFF"/>
          <w:lang w:val="uk-UA"/>
        </w:rPr>
        <w:t>про</w:t>
      </w:r>
      <w:r w:rsidRPr="00435F58">
        <w:rPr>
          <w:rFonts w:ascii="Times New Roman" w:hAnsi="Times New Roman"/>
          <w:shd w:val="clear" w:color="auto" w:fill="FFFFFF"/>
          <w:lang w:val="uk-UA"/>
        </w:rPr>
        <w:t xml:space="preserve"> відсутність висновку з оцінки впливу на довкілля відповідно до Закону України «Про оцінку впливу на довкілля» є порушенням п. 5 ст. 4-1 Закону України «Про дозвільну систему у сфері господарської діяльності», п. 21. Порядку 1328-2023-п та суперечить п.3) ч.1. ст.1, ст. 5-9, ст.11, ч. 2, 3 ст. 17 Закону 2059-VIII.</w:t>
      </w:r>
    </w:p>
    <w:p w14:paraId="7E07AEBE" w14:textId="77777777" w:rsidR="00A842E5" w:rsidRDefault="00A842E5" w:rsidP="00214B02">
      <w:pPr>
        <w:tabs>
          <w:tab w:val="left" w:pos="4455"/>
        </w:tabs>
        <w:spacing w:after="0"/>
        <w:ind w:firstLine="851"/>
        <w:jc w:val="both"/>
        <w:rPr>
          <w:rFonts w:ascii="Times New Roman" w:hAnsi="Times New Roman"/>
          <w:shd w:val="clear" w:color="auto" w:fill="FFFFFF"/>
          <w:lang w:val="uk-UA"/>
        </w:rPr>
      </w:pPr>
    </w:p>
    <w:p w14:paraId="0B4519A7" w14:textId="2E5C8F86" w:rsidR="00EF20B3" w:rsidRDefault="00EF20B3" w:rsidP="00214B02">
      <w:pPr>
        <w:tabs>
          <w:tab w:val="left" w:pos="4455"/>
        </w:tabs>
        <w:spacing w:after="0"/>
        <w:ind w:firstLine="851"/>
        <w:jc w:val="both"/>
        <w:rPr>
          <w:rFonts w:ascii="Times New Roman" w:hAnsi="Times New Roman"/>
          <w:shd w:val="clear" w:color="auto" w:fill="FFFFFF"/>
          <w:lang w:val="uk-UA"/>
        </w:rPr>
      </w:pPr>
      <w:r>
        <w:rPr>
          <w:rFonts w:ascii="Times New Roman" w:hAnsi="Times New Roman"/>
          <w:shd w:val="clear" w:color="auto" w:fill="FFFFFF"/>
          <w:lang w:val="uk-UA"/>
        </w:rPr>
        <w:t>Згідно ст. 9 Закону України «</w:t>
      </w:r>
      <w:r w:rsidRPr="00EF20B3">
        <w:rPr>
          <w:rFonts w:ascii="Times New Roman" w:hAnsi="Times New Roman"/>
          <w:shd w:val="clear" w:color="auto" w:fill="FFFFFF"/>
          <w:lang w:val="uk-UA"/>
        </w:rPr>
        <w:t>Про дозвільну систему у сфері господарської діяльності</w:t>
      </w:r>
      <w:r>
        <w:rPr>
          <w:rFonts w:ascii="Times New Roman" w:hAnsi="Times New Roman"/>
          <w:shd w:val="clear" w:color="auto" w:fill="FFFFFF"/>
          <w:lang w:val="uk-UA"/>
        </w:rPr>
        <w:t xml:space="preserve">» ДРС </w:t>
      </w:r>
      <w:r w:rsidRPr="00EF20B3">
        <w:rPr>
          <w:rFonts w:ascii="Times New Roman" w:hAnsi="Times New Roman"/>
          <w:shd w:val="clear" w:color="auto" w:fill="FFFFFF"/>
          <w:lang w:val="uk-UA"/>
        </w:rPr>
        <w:t>здійснює в межах своєї компетенції контроль за додержанням вимог законодавства з питань дозвільної системи у сфері господарської діяльності.</w:t>
      </w:r>
    </w:p>
    <w:p w14:paraId="43CA9E19" w14:textId="54D72827" w:rsidR="00EF20B3" w:rsidRDefault="00EF20B3" w:rsidP="00214B02">
      <w:pPr>
        <w:tabs>
          <w:tab w:val="left" w:pos="4455"/>
        </w:tabs>
        <w:spacing w:after="0"/>
        <w:ind w:firstLine="851"/>
        <w:jc w:val="both"/>
        <w:rPr>
          <w:rFonts w:ascii="Times New Roman" w:hAnsi="Times New Roman"/>
          <w:shd w:val="clear" w:color="auto" w:fill="FFFFFF"/>
          <w:lang w:val="uk-UA"/>
        </w:rPr>
      </w:pPr>
      <w:r>
        <w:rPr>
          <w:rFonts w:ascii="Times New Roman" w:hAnsi="Times New Roman"/>
          <w:shd w:val="clear" w:color="auto" w:fill="FFFFFF"/>
          <w:lang w:val="uk-UA"/>
        </w:rPr>
        <w:t>У відповідності до ст. 9-1 Закону України «</w:t>
      </w:r>
      <w:r w:rsidRPr="00EF20B3">
        <w:rPr>
          <w:rFonts w:ascii="Times New Roman" w:hAnsi="Times New Roman"/>
          <w:shd w:val="clear" w:color="auto" w:fill="FFFFFF"/>
          <w:lang w:val="uk-UA"/>
        </w:rPr>
        <w:t>Про дозвільну систему у сфері господарської діяльності</w:t>
      </w:r>
      <w:r>
        <w:rPr>
          <w:rFonts w:ascii="Times New Roman" w:hAnsi="Times New Roman"/>
          <w:shd w:val="clear" w:color="auto" w:fill="FFFFFF"/>
          <w:lang w:val="uk-UA"/>
        </w:rPr>
        <w:t>»</w:t>
      </w:r>
      <w:r w:rsidRPr="00EF20B3">
        <w:rPr>
          <w:rFonts w:ascii="Times New Roman" w:hAnsi="Times New Roman"/>
          <w:shd w:val="clear" w:color="auto" w:fill="FFFFFF"/>
          <w:lang w:val="uk-UA"/>
        </w:rPr>
        <w:t xml:space="preserve"> </w:t>
      </w:r>
      <w:r>
        <w:rPr>
          <w:rFonts w:ascii="Times New Roman" w:hAnsi="Times New Roman"/>
          <w:shd w:val="clear" w:color="auto" w:fill="FFFFFF"/>
          <w:lang w:val="uk-UA"/>
        </w:rPr>
        <w:t>д</w:t>
      </w:r>
      <w:r w:rsidRPr="00A842E5">
        <w:rPr>
          <w:rFonts w:ascii="Times New Roman" w:hAnsi="Times New Roman"/>
          <w:shd w:val="clear" w:color="auto" w:fill="FFFFFF"/>
          <w:lang w:val="uk-UA"/>
        </w:rPr>
        <w:t>ержавний контроль за додержанням дозвільними органами (їх посадовими особами) вимог законодавства про дозвільну систему у сфері господарської діяльності, здійснюється уповноваженим органом шляхом проведення планових та позапланових перевірок у встановленому центральним органом виконавчої влади, що забезпечує формування державної політики у сфері економічного і соціального розвитку, порядку.</w:t>
      </w:r>
    </w:p>
    <w:p w14:paraId="72984015" w14:textId="596987E9" w:rsidR="00A842E5" w:rsidRPr="00A842E5" w:rsidRDefault="00A842E5" w:rsidP="00A842E5">
      <w:pPr>
        <w:tabs>
          <w:tab w:val="left" w:pos="4455"/>
        </w:tabs>
        <w:spacing w:after="0"/>
        <w:ind w:firstLine="851"/>
        <w:jc w:val="both"/>
        <w:rPr>
          <w:rFonts w:ascii="Times New Roman" w:hAnsi="Times New Roman"/>
          <w:shd w:val="clear" w:color="auto" w:fill="FFFFFF"/>
          <w:lang w:val="uk-UA"/>
        </w:rPr>
      </w:pPr>
      <w:r w:rsidRPr="00A842E5">
        <w:rPr>
          <w:rFonts w:ascii="Times New Roman" w:hAnsi="Times New Roman"/>
          <w:shd w:val="clear" w:color="auto" w:fill="FFFFFF"/>
          <w:lang w:val="uk-UA"/>
        </w:rPr>
        <w:t>Уповноважений орган проводить позапланові перевірки додержання дозвільним органом вимог законодавства про дозвільну систему у сфері господарської діяльності</w:t>
      </w:r>
      <w:r w:rsidR="00EF20B3">
        <w:rPr>
          <w:rFonts w:ascii="Times New Roman" w:hAnsi="Times New Roman"/>
          <w:shd w:val="clear" w:color="auto" w:fill="FFFFFF"/>
          <w:lang w:val="uk-UA"/>
        </w:rPr>
        <w:t xml:space="preserve"> </w:t>
      </w:r>
      <w:r w:rsidRPr="00A842E5">
        <w:rPr>
          <w:rFonts w:ascii="Times New Roman" w:hAnsi="Times New Roman"/>
          <w:shd w:val="clear" w:color="auto" w:fill="FFFFFF"/>
          <w:lang w:val="uk-UA"/>
        </w:rPr>
        <w:t>на підставі письмової заяви про порушення вимог законодавства про дозвільну систему у сфері господарської діяльності, поданої суб'єктом господарювання</w:t>
      </w:r>
      <w:r w:rsidR="00EF20B3">
        <w:rPr>
          <w:rFonts w:ascii="Times New Roman" w:hAnsi="Times New Roman"/>
          <w:shd w:val="clear" w:color="auto" w:fill="FFFFFF"/>
          <w:lang w:val="uk-UA"/>
        </w:rPr>
        <w:t>.</w:t>
      </w:r>
    </w:p>
    <w:p w14:paraId="77B2F26E" w14:textId="77777777" w:rsidR="00A842E5" w:rsidRPr="00A842E5" w:rsidRDefault="00A842E5" w:rsidP="00A842E5">
      <w:pPr>
        <w:tabs>
          <w:tab w:val="left" w:pos="4455"/>
        </w:tabs>
        <w:spacing w:after="0"/>
        <w:ind w:firstLine="851"/>
        <w:jc w:val="both"/>
        <w:rPr>
          <w:rFonts w:ascii="Times New Roman" w:hAnsi="Times New Roman"/>
          <w:shd w:val="clear" w:color="auto" w:fill="FFFFFF"/>
          <w:lang w:val="uk-UA"/>
        </w:rPr>
      </w:pPr>
      <w:r w:rsidRPr="00A842E5">
        <w:rPr>
          <w:rFonts w:ascii="Times New Roman" w:hAnsi="Times New Roman"/>
          <w:shd w:val="clear" w:color="auto" w:fill="FFFFFF"/>
          <w:lang w:val="uk-UA"/>
        </w:rPr>
        <w:t>До участі у проведенні перевірки можуть залучатися представники органів виконавчої влади, органів місцевого самоврядування (їх виконавчих органів), установ та організацій за погодженням з їх керівниками.</w:t>
      </w:r>
    </w:p>
    <w:p w14:paraId="1DD9EB9E" w14:textId="6E937F25" w:rsidR="00A842E5" w:rsidRDefault="00781FB3" w:rsidP="00EF20B3">
      <w:pPr>
        <w:tabs>
          <w:tab w:val="left" w:pos="4455"/>
        </w:tabs>
        <w:spacing w:after="0"/>
        <w:ind w:firstLine="709"/>
        <w:jc w:val="both"/>
        <w:rPr>
          <w:rFonts w:ascii="Times New Roman" w:hAnsi="Times New Roman"/>
          <w:shd w:val="clear" w:color="auto" w:fill="FFFFFF"/>
          <w:lang w:val="uk-UA"/>
        </w:rPr>
      </w:pPr>
      <w:r>
        <w:rPr>
          <w:rFonts w:ascii="Times New Roman" w:hAnsi="Times New Roman"/>
          <w:shd w:val="clear" w:color="auto" w:fill="FFFFFF"/>
          <w:lang w:val="uk-UA"/>
        </w:rPr>
        <w:t>К</w:t>
      </w:r>
      <w:r w:rsidR="00EF20B3" w:rsidRPr="00EF20B3">
        <w:rPr>
          <w:rFonts w:ascii="Times New Roman" w:hAnsi="Times New Roman"/>
          <w:shd w:val="clear" w:color="auto" w:fill="FFFFFF"/>
          <w:lang w:val="uk-UA"/>
        </w:rPr>
        <w:t>еруючись ст. 9</w:t>
      </w:r>
      <w:r w:rsidR="00EF20B3">
        <w:rPr>
          <w:rFonts w:ascii="Times New Roman" w:hAnsi="Times New Roman"/>
          <w:shd w:val="clear" w:color="auto" w:fill="FFFFFF"/>
          <w:lang w:val="uk-UA"/>
        </w:rPr>
        <w:t xml:space="preserve">, 9-1 </w:t>
      </w:r>
      <w:r w:rsidR="00EF20B3" w:rsidRPr="00EF20B3">
        <w:rPr>
          <w:rFonts w:ascii="Times New Roman" w:hAnsi="Times New Roman"/>
          <w:shd w:val="clear" w:color="auto" w:fill="FFFFFF"/>
          <w:lang w:val="uk-UA"/>
        </w:rPr>
        <w:t>Закону України «Про дозвільну систему у сфері господарської діяльності»</w:t>
      </w:r>
      <w:r w:rsidR="00EF20B3">
        <w:rPr>
          <w:rFonts w:ascii="Times New Roman" w:hAnsi="Times New Roman"/>
          <w:shd w:val="clear" w:color="auto" w:fill="FFFFFF"/>
          <w:lang w:val="uk-UA"/>
        </w:rPr>
        <w:t>, ПРОШУ:</w:t>
      </w:r>
    </w:p>
    <w:p w14:paraId="09B012D6" w14:textId="383A20D1" w:rsidR="00A842E5" w:rsidRDefault="00EF20B3" w:rsidP="00EF20B3">
      <w:pPr>
        <w:pStyle w:val="a3"/>
        <w:tabs>
          <w:tab w:val="left" w:pos="4455"/>
        </w:tabs>
        <w:spacing w:after="0"/>
        <w:ind w:left="0" w:firstLine="709"/>
        <w:jc w:val="both"/>
        <w:rPr>
          <w:rFonts w:ascii="Times New Roman" w:hAnsi="Times New Roman"/>
          <w:shd w:val="clear" w:color="auto" w:fill="FFFFFF"/>
          <w:lang w:val="uk-UA"/>
        </w:rPr>
      </w:pPr>
      <w:r>
        <w:rPr>
          <w:rFonts w:ascii="Times New Roman" w:hAnsi="Times New Roman"/>
          <w:shd w:val="clear" w:color="auto" w:fill="FFFFFF"/>
          <w:lang w:val="uk-UA"/>
        </w:rPr>
        <w:t xml:space="preserve">1. </w:t>
      </w:r>
      <w:r w:rsidRPr="00EF20B3">
        <w:rPr>
          <w:rFonts w:ascii="Times New Roman" w:hAnsi="Times New Roman"/>
          <w:shd w:val="clear" w:color="auto" w:fill="FFFFFF"/>
          <w:lang w:val="uk-UA"/>
        </w:rPr>
        <w:t xml:space="preserve">Провести позапланову перевірку додержання Міндовкілля вимог законодавства про дозвільну систему у сфері господарської діяльності на підставі даної заяви </w:t>
      </w:r>
      <w:r w:rsidR="007E15DE" w:rsidRPr="007E15DE">
        <w:rPr>
          <w:rFonts w:ascii="Times New Roman" w:hAnsi="Times New Roman"/>
          <w:shd w:val="clear" w:color="auto" w:fill="FFFFFF"/>
          <w:lang w:val="uk-UA"/>
        </w:rPr>
        <w:t>ТОВ «</w:t>
      </w:r>
      <w:r w:rsidR="00781FB3">
        <w:rPr>
          <w:rFonts w:ascii="Times New Roman" w:hAnsi="Times New Roman"/>
          <w:shd w:val="clear" w:color="auto" w:fill="FFFFFF"/>
          <w:lang w:val="uk-UA"/>
        </w:rPr>
        <w:t>ХХХ</w:t>
      </w:r>
      <w:r w:rsidR="007E15DE" w:rsidRPr="007E15DE">
        <w:rPr>
          <w:rFonts w:ascii="Times New Roman" w:hAnsi="Times New Roman"/>
          <w:shd w:val="clear" w:color="auto" w:fill="FFFFFF"/>
          <w:lang w:val="uk-UA"/>
        </w:rPr>
        <w:t xml:space="preserve">» </w:t>
      </w:r>
      <w:r w:rsidRPr="00EF20B3">
        <w:rPr>
          <w:rFonts w:ascii="Times New Roman" w:hAnsi="Times New Roman"/>
          <w:shd w:val="clear" w:color="auto" w:fill="FFFFFF"/>
          <w:lang w:val="uk-UA"/>
        </w:rPr>
        <w:t>про порушення вимог законодавства про дозвільну систему у сфері господарської діяльності</w:t>
      </w:r>
      <w:r w:rsidR="007E15DE">
        <w:rPr>
          <w:rFonts w:ascii="Times New Roman" w:hAnsi="Times New Roman"/>
          <w:shd w:val="clear" w:color="auto" w:fill="FFFFFF"/>
          <w:lang w:val="uk-UA"/>
        </w:rPr>
        <w:t>.</w:t>
      </w:r>
    </w:p>
    <w:p w14:paraId="7526695A" w14:textId="7A29097A" w:rsidR="007E15DE" w:rsidRDefault="00781FB3" w:rsidP="00EF20B3">
      <w:pPr>
        <w:pStyle w:val="a3"/>
        <w:tabs>
          <w:tab w:val="left" w:pos="4455"/>
        </w:tabs>
        <w:spacing w:after="0"/>
        <w:ind w:left="0" w:firstLine="709"/>
        <w:jc w:val="both"/>
        <w:rPr>
          <w:rFonts w:ascii="Times New Roman" w:hAnsi="Times New Roman"/>
          <w:shd w:val="clear" w:color="auto" w:fill="FFFFFF"/>
          <w:lang w:val="uk-UA"/>
        </w:rPr>
      </w:pPr>
      <w:r>
        <w:rPr>
          <w:rFonts w:ascii="Times New Roman" w:hAnsi="Times New Roman"/>
          <w:shd w:val="clear" w:color="auto" w:fill="FFFFFF"/>
          <w:lang w:val="uk-UA"/>
        </w:rPr>
        <w:t>2</w:t>
      </w:r>
      <w:r w:rsidR="007E15DE">
        <w:rPr>
          <w:rFonts w:ascii="Times New Roman" w:hAnsi="Times New Roman"/>
          <w:shd w:val="clear" w:color="auto" w:fill="FFFFFF"/>
          <w:lang w:val="uk-UA"/>
        </w:rPr>
        <w:t xml:space="preserve">. Акт перевірки направити на адресу </w:t>
      </w:r>
      <w:r w:rsidR="007E15DE" w:rsidRPr="007E15DE">
        <w:rPr>
          <w:rFonts w:ascii="Times New Roman" w:hAnsi="Times New Roman"/>
          <w:shd w:val="clear" w:color="auto" w:fill="FFFFFF"/>
          <w:lang w:val="uk-UA"/>
        </w:rPr>
        <w:t>ТОВ «</w:t>
      </w:r>
      <w:r>
        <w:rPr>
          <w:rFonts w:ascii="Times New Roman" w:hAnsi="Times New Roman"/>
          <w:shd w:val="clear" w:color="auto" w:fill="FFFFFF"/>
          <w:lang w:val="uk-UA"/>
        </w:rPr>
        <w:t>ХХХ</w:t>
      </w:r>
      <w:r w:rsidR="007E15DE" w:rsidRPr="007E15DE">
        <w:rPr>
          <w:rFonts w:ascii="Times New Roman" w:hAnsi="Times New Roman"/>
          <w:shd w:val="clear" w:color="auto" w:fill="FFFFFF"/>
          <w:lang w:val="uk-UA"/>
        </w:rPr>
        <w:t>»</w:t>
      </w:r>
    </w:p>
    <w:p w14:paraId="47342650" w14:textId="065DDD20" w:rsidR="007E15DE" w:rsidRPr="007E15DE" w:rsidRDefault="00781FB3" w:rsidP="00EF20B3">
      <w:pPr>
        <w:pStyle w:val="a3"/>
        <w:tabs>
          <w:tab w:val="left" w:pos="4455"/>
        </w:tabs>
        <w:spacing w:after="0"/>
        <w:ind w:left="0" w:firstLine="709"/>
        <w:jc w:val="both"/>
        <w:rPr>
          <w:rFonts w:ascii="Times New Roman" w:hAnsi="Times New Roman"/>
          <w:shd w:val="clear" w:color="auto" w:fill="FFFFFF"/>
        </w:rPr>
      </w:pPr>
      <w:r>
        <w:rPr>
          <w:rFonts w:ascii="Times New Roman" w:hAnsi="Times New Roman"/>
          <w:shd w:val="clear" w:color="auto" w:fill="FFFFFF"/>
          <w:lang w:val="uk-UA"/>
        </w:rPr>
        <w:t>3</w:t>
      </w:r>
      <w:r w:rsidR="007E15DE">
        <w:rPr>
          <w:rFonts w:ascii="Times New Roman" w:hAnsi="Times New Roman"/>
          <w:shd w:val="clear" w:color="auto" w:fill="FFFFFF"/>
          <w:lang w:val="uk-UA"/>
        </w:rPr>
        <w:t>. У випадку встановлення</w:t>
      </w:r>
      <w:r w:rsidR="007E15DE" w:rsidRPr="007E15DE">
        <w:t xml:space="preserve"> </w:t>
      </w:r>
      <w:r w:rsidR="007E15DE" w:rsidRPr="007E15DE">
        <w:rPr>
          <w:rFonts w:ascii="Times New Roman" w:hAnsi="Times New Roman"/>
          <w:shd w:val="clear" w:color="auto" w:fill="FFFFFF"/>
          <w:lang w:val="uk-UA"/>
        </w:rPr>
        <w:t>порушення вимог законодавства про дозвільну систему у сфері господарської діяльності</w:t>
      </w:r>
      <w:r w:rsidR="007E15DE">
        <w:rPr>
          <w:rFonts w:ascii="Times New Roman" w:hAnsi="Times New Roman"/>
          <w:shd w:val="clear" w:color="auto" w:fill="FFFFFF"/>
          <w:lang w:val="uk-UA"/>
        </w:rPr>
        <w:t xml:space="preserve"> застосувати заходи  державного контролю та повідомити </w:t>
      </w:r>
      <w:r w:rsidR="007E15DE" w:rsidRPr="007E15DE">
        <w:rPr>
          <w:rFonts w:ascii="Times New Roman" w:hAnsi="Times New Roman"/>
          <w:shd w:val="clear" w:color="auto" w:fill="FFFFFF"/>
          <w:lang w:val="uk-UA"/>
        </w:rPr>
        <w:t>ТОВ «</w:t>
      </w:r>
      <w:r>
        <w:rPr>
          <w:rFonts w:ascii="Times New Roman" w:hAnsi="Times New Roman"/>
          <w:shd w:val="clear" w:color="auto" w:fill="FFFFFF"/>
          <w:lang w:val="uk-UA"/>
        </w:rPr>
        <w:t>ХХХ</w:t>
      </w:r>
      <w:r w:rsidR="007E15DE" w:rsidRPr="007E15DE">
        <w:rPr>
          <w:rFonts w:ascii="Times New Roman" w:hAnsi="Times New Roman"/>
          <w:shd w:val="clear" w:color="auto" w:fill="FFFFFF"/>
          <w:lang w:val="uk-UA"/>
        </w:rPr>
        <w:t>»</w:t>
      </w:r>
      <w:r w:rsidR="007E15DE">
        <w:rPr>
          <w:rFonts w:ascii="Times New Roman" w:hAnsi="Times New Roman"/>
          <w:shd w:val="clear" w:color="auto" w:fill="FFFFFF"/>
          <w:lang w:val="uk-UA"/>
        </w:rPr>
        <w:t xml:space="preserve"> про застосовані заходи</w:t>
      </w:r>
    </w:p>
    <w:p w14:paraId="28B40B46" w14:textId="77777777" w:rsidR="00A842E5" w:rsidRDefault="00A842E5" w:rsidP="00EF20B3">
      <w:pPr>
        <w:tabs>
          <w:tab w:val="left" w:pos="4455"/>
        </w:tabs>
        <w:spacing w:after="0"/>
        <w:ind w:firstLine="709"/>
        <w:jc w:val="both"/>
        <w:rPr>
          <w:rFonts w:ascii="Times New Roman" w:hAnsi="Times New Roman"/>
          <w:shd w:val="clear" w:color="auto" w:fill="FFFFFF"/>
          <w:lang w:val="uk-UA"/>
        </w:rPr>
      </w:pPr>
    </w:p>
    <w:p w14:paraId="44FFA525" w14:textId="77777777" w:rsidR="002D0C23" w:rsidRPr="003A617D" w:rsidRDefault="002D0C23" w:rsidP="003A617D">
      <w:pPr>
        <w:tabs>
          <w:tab w:val="left" w:pos="4455"/>
        </w:tabs>
        <w:spacing w:after="0"/>
        <w:ind w:firstLine="851"/>
        <w:jc w:val="both"/>
        <w:rPr>
          <w:rFonts w:ascii="Times New Roman" w:hAnsi="Times New Roman"/>
          <w:shd w:val="clear" w:color="auto" w:fill="FFFFFF"/>
          <w:lang w:val="uk-UA"/>
        </w:rPr>
      </w:pPr>
    </w:p>
    <w:p w14:paraId="1E6F60D9" w14:textId="77777777" w:rsidR="00214B02" w:rsidRPr="003A617D" w:rsidRDefault="00214B02" w:rsidP="00214B02">
      <w:pPr>
        <w:tabs>
          <w:tab w:val="left" w:pos="4455"/>
        </w:tabs>
        <w:spacing w:after="0"/>
        <w:ind w:firstLine="851"/>
        <w:jc w:val="both"/>
        <w:rPr>
          <w:rFonts w:ascii="Times New Roman" w:hAnsi="Times New Roman"/>
          <w:sz w:val="24"/>
          <w:szCs w:val="24"/>
          <w:lang w:val="uk-UA"/>
        </w:rPr>
      </w:pPr>
    </w:p>
    <w:p w14:paraId="2BB03092" w14:textId="77777777" w:rsidR="00214B02" w:rsidRPr="003A617D" w:rsidRDefault="00214B02" w:rsidP="00214B02">
      <w:pPr>
        <w:tabs>
          <w:tab w:val="left" w:pos="4455"/>
        </w:tabs>
        <w:jc w:val="both"/>
        <w:rPr>
          <w:rFonts w:ascii="Times New Roman" w:hAnsi="Times New Roman"/>
          <w:sz w:val="24"/>
          <w:szCs w:val="24"/>
          <w:lang w:val="uk-UA"/>
        </w:rPr>
      </w:pPr>
    </w:p>
    <w:p w14:paraId="214417C6" w14:textId="77777777" w:rsidR="00387F88" w:rsidRPr="003A617D" w:rsidRDefault="00387F88">
      <w:pPr>
        <w:rPr>
          <w:lang w:val="uk-UA"/>
        </w:rPr>
      </w:pPr>
    </w:p>
    <w:sectPr w:rsidR="00387F88" w:rsidRPr="003A617D" w:rsidSect="00435F58">
      <w:pgSz w:w="12240" w:h="15840"/>
      <w:pgMar w:top="426" w:right="7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81BC8"/>
    <w:multiLevelType w:val="hybridMultilevel"/>
    <w:tmpl w:val="50E6E1E2"/>
    <w:lvl w:ilvl="0" w:tplc="0CA8D5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1B019F7"/>
    <w:multiLevelType w:val="hybridMultilevel"/>
    <w:tmpl w:val="0A5CE784"/>
    <w:lvl w:ilvl="0" w:tplc="47A87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457918506">
    <w:abstractNumId w:val="0"/>
  </w:num>
  <w:num w:numId="2" w16cid:durableId="211362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C8"/>
    <w:rsid w:val="001851A4"/>
    <w:rsid w:val="00214B02"/>
    <w:rsid w:val="002D0C23"/>
    <w:rsid w:val="00387F88"/>
    <w:rsid w:val="003A617D"/>
    <w:rsid w:val="00435F58"/>
    <w:rsid w:val="00490C55"/>
    <w:rsid w:val="005437CD"/>
    <w:rsid w:val="00781FB3"/>
    <w:rsid w:val="007E15DE"/>
    <w:rsid w:val="009F61C0"/>
    <w:rsid w:val="00A842E5"/>
    <w:rsid w:val="00AC7A99"/>
    <w:rsid w:val="00CE6C06"/>
    <w:rsid w:val="00EB56C8"/>
    <w:rsid w:val="00EF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ECEF"/>
  <w15:chartTrackingRefBased/>
  <w15:docId w15:val="{14231D0D-90BD-45BF-BE1F-6711FDE2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B02"/>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9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3850</Words>
  <Characters>2195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Khomich Liudmyla - Хоміч Людмила Вікторівна</cp:lastModifiedBy>
  <cp:revision>3</cp:revision>
  <dcterms:created xsi:type="dcterms:W3CDTF">2024-11-27T11:21:00Z</dcterms:created>
  <dcterms:modified xsi:type="dcterms:W3CDTF">2024-11-27T11:43:00Z</dcterms:modified>
</cp:coreProperties>
</file>